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BDB7F" w14:textId="141A1AE5" w:rsidR="0022659B" w:rsidRDefault="00DF3823" w:rsidP="00DF3823">
      <w:pPr>
        <w:ind w:left="7200"/>
      </w:pPr>
      <w:r>
        <w:rPr>
          <w:noProof/>
        </w:rPr>
        <w:drawing>
          <wp:anchor distT="0" distB="0" distL="114300" distR="114300" simplePos="0" relativeHeight="251658240" behindDoc="0" locked="0" layoutInCell="1" allowOverlap="1" wp14:anchorId="0AD1D841" wp14:editId="6C29B145">
            <wp:simplePos x="0" y="0"/>
            <wp:positionH relativeFrom="column">
              <wp:posOffset>4343400</wp:posOffset>
            </wp:positionH>
            <wp:positionV relativeFrom="paragraph">
              <wp:posOffset>-685800</wp:posOffset>
            </wp:positionV>
            <wp:extent cx="1488654" cy="992436"/>
            <wp:effectExtent l="0" t="0" r="10160" b="0"/>
            <wp:wrapNone/>
            <wp:docPr id="1" name="Picture 1" descr="Macintosh HD:Users:deborahnagler:Desktop:NJCU:EdTech 2.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borahnagler:Desktop:NJCU:EdTech 2.0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654" cy="992436"/>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659B">
        <w:tab/>
      </w:r>
      <w:r w:rsidR="0022659B">
        <w:tab/>
      </w:r>
      <w:r w:rsidR="0022659B">
        <w:tab/>
      </w:r>
      <w:r w:rsidR="0022659B">
        <w:tab/>
      </w:r>
    </w:p>
    <w:p w14:paraId="6FE04C09" w14:textId="6AC30C40" w:rsidR="006C6070" w:rsidRPr="009404B1" w:rsidRDefault="0022659B" w:rsidP="0022659B">
      <w:pPr>
        <w:ind w:left="6480"/>
        <w:rPr>
          <w:rFonts w:ascii="Avenir Black" w:hAnsi="Avenir Black"/>
        </w:rPr>
      </w:pPr>
      <w:r>
        <w:t xml:space="preserve"> </w:t>
      </w:r>
      <w:r w:rsidR="009404B1">
        <w:t xml:space="preserve">     </w:t>
      </w:r>
      <w:r w:rsidRPr="009404B1">
        <w:rPr>
          <w:rFonts w:ascii="Avenir Black" w:hAnsi="Avenir Black"/>
        </w:rPr>
        <w:t>Innovating the future</w:t>
      </w:r>
    </w:p>
    <w:p w14:paraId="5495442D" w14:textId="77777777" w:rsidR="009404B1" w:rsidRDefault="009404B1" w:rsidP="009404B1"/>
    <w:p w14:paraId="7D655CE4" w14:textId="58D0221A" w:rsidR="009404B1" w:rsidRDefault="009404B1" w:rsidP="009404B1">
      <w:r>
        <w:t>To:</w:t>
      </w:r>
      <w:r>
        <w:tab/>
      </w:r>
      <w:r>
        <w:tab/>
        <w:t>Cecilia Twomey</w:t>
      </w:r>
    </w:p>
    <w:p w14:paraId="57B9F5A0" w14:textId="77777777" w:rsidR="009404B1" w:rsidRDefault="009404B1" w:rsidP="009404B1"/>
    <w:p w14:paraId="651755C7" w14:textId="2F67D30E" w:rsidR="009404B1" w:rsidRDefault="009404B1" w:rsidP="009404B1">
      <w:r>
        <w:t xml:space="preserve">From:  </w:t>
      </w:r>
      <w:r>
        <w:tab/>
        <w:t>Deborah Nagler</w:t>
      </w:r>
    </w:p>
    <w:p w14:paraId="43B91BAF" w14:textId="77777777" w:rsidR="009404B1" w:rsidRDefault="009404B1" w:rsidP="009404B1"/>
    <w:p w14:paraId="3D1888B1" w14:textId="5D593E1A" w:rsidR="009404B1" w:rsidRDefault="009404B1" w:rsidP="009404B1">
      <w:r>
        <w:t>Date:</w:t>
      </w:r>
      <w:r>
        <w:tab/>
      </w:r>
      <w:r>
        <w:tab/>
        <w:t>August 1, 2014</w:t>
      </w:r>
    </w:p>
    <w:p w14:paraId="7140C883" w14:textId="77777777" w:rsidR="009404B1" w:rsidRDefault="009404B1" w:rsidP="009404B1"/>
    <w:p w14:paraId="43B056AB" w14:textId="2881D94C" w:rsidR="009404B1" w:rsidRDefault="009404B1" w:rsidP="009404B1">
      <w:r>
        <w:t>SUBJECT:</w:t>
      </w:r>
      <w:r>
        <w:tab/>
        <w:t>ACTIVISION, ELECTRONIC ARTS, TAKETWO STOCK RECOMMENDATIONS</w:t>
      </w:r>
    </w:p>
    <w:p w14:paraId="187A0437" w14:textId="77777777" w:rsidR="009404B1" w:rsidRDefault="009404B1" w:rsidP="009404B1"/>
    <w:p w14:paraId="4CDCC43C" w14:textId="6A86CA3A" w:rsidR="002302D8" w:rsidRDefault="00AB529E" w:rsidP="009404B1">
      <w:r>
        <w:t>In response to</w:t>
      </w:r>
      <w:r w:rsidR="009404B1">
        <w:t xml:space="preserve"> your request for </w:t>
      </w:r>
      <w:r>
        <w:t xml:space="preserve">recommendations for publically traded </w:t>
      </w:r>
      <w:r w:rsidR="009404B1">
        <w:t>stock</w:t>
      </w:r>
      <w:r w:rsidR="00DD2781">
        <w:t>s</w:t>
      </w:r>
      <w:r w:rsidR="009404B1">
        <w:t xml:space="preserve"> that might</w:t>
      </w:r>
      <w:r w:rsidR="001E1DE9">
        <w:t xml:space="preserve"> be</w:t>
      </w:r>
      <w:r w:rsidR="009404B1">
        <w:t xml:space="preserve"> </w:t>
      </w:r>
      <w:r w:rsidR="001E1DE9">
        <w:t>attractive to</w:t>
      </w:r>
      <w:r w:rsidR="009404B1">
        <w:t xml:space="preserve"> young investors, </w:t>
      </w:r>
      <w:r w:rsidR="00131BAB">
        <w:t xml:space="preserve">I have selected three of </w:t>
      </w:r>
      <w:r w:rsidR="009404B1">
        <w:t xml:space="preserve">the </w:t>
      </w:r>
      <w:r w:rsidR="00131BAB">
        <w:t>leading</w:t>
      </w:r>
      <w:r w:rsidR="001E1DE9">
        <w:t xml:space="preserve"> </w:t>
      </w:r>
      <w:r w:rsidR="00C47A9D">
        <w:t xml:space="preserve">video </w:t>
      </w:r>
      <w:r w:rsidR="001E1DE9">
        <w:t xml:space="preserve">game </w:t>
      </w:r>
      <w:r w:rsidR="00C47A9D">
        <w:t xml:space="preserve">software </w:t>
      </w:r>
      <w:r w:rsidR="001E1DE9">
        <w:t>producers</w:t>
      </w:r>
      <w:r w:rsidR="00C47A9D">
        <w:t xml:space="preserve"> and d</w:t>
      </w:r>
      <w:r w:rsidR="00180164">
        <w:t>istributer</w:t>
      </w:r>
      <w:r w:rsidR="00C47A9D">
        <w:t>s</w:t>
      </w:r>
      <w:r w:rsidR="002302D8">
        <w:t xml:space="preserve">. </w:t>
      </w:r>
      <w:r w:rsidR="001A740C">
        <w:t>Each of the following stocks is high-performing and traded on the NASDAQ: Activision/Blizzard (A</w:t>
      </w:r>
      <w:r w:rsidR="004975EC">
        <w:t>TVI</w:t>
      </w:r>
      <w:r w:rsidR="001A740C">
        <w:t xml:space="preserve">), Electronic Arts (EA), and Take Two (TTWO). </w:t>
      </w:r>
    </w:p>
    <w:p w14:paraId="44EDDC85" w14:textId="77777777" w:rsidR="002302D8" w:rsidRDefault="002302D8" w:rsidP="009404B1"/>
    <w:p w14:paraId="4409DDAB" w14:textId="4989CFC6" w:rsidR="00DD2781" w:rsidRDefault="00DD2781" w:rsidP="009404B1">
      <w:pPr>
        <w:rPr>
          <w:b/>
        </w:rPr>
      </w:pPr>
      <w:r w:rsidRPr="00DD2781">
        <w:rPr>
          <w:b/>
        </w:rPr>
        <w:t>Background</w:t>
      </w:r>
    </w:p>
    <w:p w14:paraId="263CCD20" w14:textId="77777777" w:rsidR="001C40F7" w:rsidRPr="001C40F7" w:rsidRDefault="001C40F7" w:rsidP="009404B1">
      <w:pPr>
        <w:rPr>
          <w:b/>
        </w:rPr>
      </w:pPr>
    </w:p>
    <w:p w14:paraId="32249C7A" w14:textId="71E3E767" w:rsidR="00DD1127" w:rsidRDefault="001E1DE9" w:rsidP="009404B1">
      <w:r w:rsidRPr="001C40F7">
        <w:t xml:space="preserve">These companies operate in </w:t>
      </w:r>
      <w:r w:rsidR="00EC1C9A" w:rsidRPr="001C40F7">
        <w:t xml:space="preserve">a </w:t>
      </w:r>
      <w:r w:rsidR="00AB364B" w:rsidRPr="001C40F7">
        <w:t>$</w:t>
      </w:r>
      <w:r w:rsidR="000647B5" w:rsidRPr="001C40F7">
        <w:t>22</w:t>
      </w:r>
      <w:r w:rsidR="00AB364B" w:rsidRPr="001C40F7">
        <w:t xml:space="preserve"> </w:t>
      </w:r>
      <w:r w:rsidR="000647B5" w:rsidRPr="001C40F7">
        <w:t>billion</w:t>
      </w:r>
      <w:r w:rsidRPr="001C40F7">
        <w:t xml:space="preserve"> </w:t>
      </w:r>
      <w:r w:rsidR="000647B5" w:rsidRPr="001C40F7">
        <w:t>industry</w:t>
      </w:r>
      <w:r w:rsidR="000647B5">
        <w:t xml:space="preserve"> </w:t>
      </w:r>
      <w:r>
        <w:t>with tremendous growth potential.</w:t>
      </w:r>
      <w:r w:rsidR="00131BAB">
        <w:t xml:space="preserve"> </w:t>
      </w:r>
      <w:r w:rsidR="001A186B">
        <w:t xml:space="preserve"> </w:t>
      </w:r>
      <w:r w:rsidR="004F43CA">
        <w:t xml:space="preserve">The Entertainment Software </w:t>
      </w:r>
      <w:r w:rsidR="00DD2781">
        <w:t>A</w:t>
      </w:r>
      <w:r w:rsidR="004F43CA">
        <w:t>ssociation</w:t>
      </w:r>
      <w:r w:rsidR="00DD2781">
        <w:t xml:space="preserve"> (2014)</w:t>
      </w:r>
      <w:r w:rsidR="004F43CA">
        <w:t xml:space="preserve"> </w:t>
      </w:r>
      <w:r w:rsidR="00DD2781">
        <w:t xml:space="preserve">reports that </w:t>
      </w:r>
      <w:r w:rsidR="007D27BF">
        <w:t xml:space="preserve">59% of Americans play video games. Players include people of all ages, with men and women </w:t>
      </w:r>
      <w:r w:rsidR="00A15601">
        <w:t>participating in roughly equal percentages. The fastest growing area of this industry is social games, which are most often casual games that are played on mobile devices and require interaction with other people.</w:t>
      </w:r>
      <w:r w:rsidR="007D27BF">
        <w:t xml:space="preserve"> </w:t>
      </w:r>
    </w:p>
    <w:p w14:paraId="59FA9EDF" w14:textId="77777777" w:rsidR="00DD1127" w:rsidRDefault="00DD1127" w:rsidP="009404B1"/>
    <w:p w14:paraId="4336711F" w14:textId="6BF56B86" w:rsidR="002302D8" w:rsidRDefault="00A15601" w:rsidP="009404B1">
      <w:r>
        <w:t xml:space="preserve">Hard core gamers make up about one-quarter of the market and typically focus on action, sports, strategy, or role-playing games. The most popular of these types of games </w:t>
      </w:r>
      <w:r w:rsidR="00AB1AE0">
        <w:t>must be played either on</w:t>
      </w:r>
      <w:r>
        <w:t xml:space="preserve"> a game console or </w:t>
      </w:r>
      <w:r w:rsidR="00AB1AE0">
        <w:t xml:space="preserve">on </w:t>
      </w:r>
      <w:r>
        <w:t xml:space="preserve">a </w:t>
      </w:r>
      <w:r w:rsidR="00AB1AE0">
        <w:t xml:space="preserve">personal </w:t>
      </w:r>
      <w:r>
        <w:t>computer.</w:t>
      </w:r>
      <w:r w:rsidR="00180164">
        <w:t xml:space="preserve"> The top-selling games become franchises</w:t>
      </w:r>
      <w:r w:rsidR="001E6283">
        <w:t xml:space="preserve"> or branded series that offer the consumer opportunities to continue playing the game through sequels.</w:t>
      </w:r>
    </w:p>
    <w:p w14:paraId="51E716CB" w14:textId="77777777" w:rsidR="002302D8" w:rsidRDefault="002302D8" w:rsidP="009404B1"/>
    <w:p w14:paraId="7E5F03B9" w14:textId="1E1EBBA8" w:rsidR="00B551C7" w:rsidRDefault="00B551C7" w:rsidP="009404B1">
      <w:pPr>
        <w:rPr>
          <w:b/>
        </w:rPr>
      </w:pPr>
      <w:r w:rsidRPr="00B551C7">
        <w:rPr>
          <w:b/>
        </w:rPr>
        <w:t>The Contenders</w:t>
      </w:r>
    </w:p>
    <w:p w14:paraId="67E60941" w14:textId="77777777" w:rsidR="00A07195" w:rsidRDefault="00A07195" w:rsidP="009404B1">
      <w:pPr>
        <w:rPr>
          <w:b/>
          <w:color w:val="0070C0"/>
        </w:rPr>
      </w:pPr>
    </w:p>
    <w:p w14:paraId="29625558" w14:textId="4E7DF717" w:rsidR="002302D8" w:rsidRDefault="00AB1AE0" w:rsidP="009404B1">
      <w:r>
        <w:t xml:space="preserve">Activision Blizzard, Inc. (ATVI) is a developer and distributer of interactive software and related products. ATVI </w:t>
      </w:r>
      <w:r w:rsidR="00180164">
        <w:t>purposefully delivers</w:t>
      </w:r>
      <w:r>
        <w:t xml:space="preserve"> </w:t>
      </w:r>
      <w:r w:rsidR="001E6283">
        <w:t xml:space="preserve">only </w:t>
      </w:r>
      <w:r>
        <w:t xml:space="preserve">a limited number of </w:t>
      </w:r>
      <w:r w:rsidR="00180164">
        <w:t xml:space="preserve">franchises to the market, but is well </w:t>
      </w:r>
      <w:r>
        <w:t>known for</w:t>
      </w:r>
      <w:r w:rsidR="001E6283">
        <w:t xml:space="preserve"> the quality of</w:t>
      </w:r>
      <w:r>
        <w:t xml:space="preserve"> </w:t>
      </w:r>
      <w:r w:rsidR="0059192A">
        <w:t xml:space="preserve">its blockbuster products: </w:t>
      </w:r>
      <w:r>
        <w:t>World of War</w:t>
      </w:r>
      <w:r w:rsidR="0059192A">
        <w:t>cra</w:t>
      </w:r>
      <w:r>
        <w:t>ft</w:t>
      </w:r>
      <w:r w:rsidR="00180164" w:rsidRPr="001E7268">
        <w:rPr>
          <w:rFonts w:eastAsia="Times New Roman" w:cs="Times New Roman"/>
          <w:vertAlign w:val="superscript"/>
        </w:rPr>
        <w:t>TM</w:t>
      </w:r>
      <w:r>
        <w:t>, Call of Duty</w:t>
      </w:r>
      <w:r w:rsidR="00180164" w:rsidRPr="001E7268">
        <w:rPr>
          <w:rFonts w:eastAsia="Times New Roman" w:cs="Times New Roman"/>
          <w:vertAlign w:val="superscript"/>
        </w:rPr>
        <w:t>TM</w:t>
      </w:r>
      <w:r>
        <w:t>,</w:t>
      </w:r>
      <w:r w:rsidR="00E67FFD">
        <w:t xml:space="preserve"> and </w:t>
      </w:r>
      <w:r w:rsidR="00180164">
        <w:t>Guitar Hero</w:t>
      </w:r>
      <w:r w:rsidR="00180164" w:rsidRPr="001E7268">
        <w:rPr>
          <w:rFonts w:eastAsia="Times New Roman" w:cs="Times New Roman"/>
          <w:vertAlign w:val="superscript"/>
        </w:rPr>
        <w:t>TM</w:t>
      </w:r>
      <w:r w:rsidR="00E67FFD">
        <w:t xml:space="preserve">. </w:t>
      </w:r>
      <w:r w:rsidR="00180164">
        <w:t>A recent addition</w:t>
      </w:r>
      <w:r w:rsidR="0066135F">
        <w:t xml:space="preserve"> is</w:t>
      </w:r>
      <w:r w:rsidR="00E67FFD">
        <w:t xml:space="preserve"> </w:t>
      </w:r>
      <w:r w:rsidR="0066135F">
        <w:t>Skylander,</w:t>
      </w:r>
      <w:r w:rsidR="005B3170">
        <w:t xml:space="preserve"> an innovative</w:t>
      </w:r>
      <w:r w:rsidR="0066135F">
        <w:t xml:space="preserve"> and highly successful</w:t>
      </w:r>
      <w:r w:rsidR="005B3170">
        <w:t xml:space="preserve"> gaming system developed in 2011. In this “toys to life” game, action figures are placed on a console in order to active avatars in the </w:t>
      </w:r>
      <w:r w:rsidR="00180164">
        <w:t xml:space="preserve">on-screen </w:t>
      </w:r>
      <w:r w:rsidR="005B3170">
        <w:t>game.</w:t>
      </w:r>
      <w:r w:rsidR="0066135F">
        <w:t xml:space="preserve"> ATVI’s announcement that it will launch </w:t>
      </w:r>
      <w:r w:rsidR="00180164">
        <w:t>a new franchise called Destiny</w:t>
      </w:r>
      <w:r w:rsidR="00180164" w:rsidRPr="001E7268">
        <w:rPr>
          <w:rFonts w:eastAsia="Times New Roman" w:cs="Times New Roman"/>
          <w:vertAlign w:val="superscript"/>
        </w:rPr>
        <w:t>TM</w:t>
      </w:r>
      <w:r w:rsidR="0066135F">
        <w:t xml:space="preserve"> in early 2015 has generated tremendous excitement in the industry. </w:t>
      </w:r>
    </w:p>
    <w:p w14:paraId="7AC851A6" w14:textId="77777777" w:rsidR="00AB1AE0" w:rsidRDefault="00AB1AE0" w:rsidP="009404B1"/>
    <w:p w14:paraId="11E6B3FC" w14:textId="5EA837D6" w:rsidR="001E7268" w:rsidRPr="001E7268" w:rsidRDefault="002B4058" w:rsidP="009404B1">
      <w:pPr>
        <w:rPr>
          <w:rFonts w:eastAsia="Times New Roman" w:cs="Times New Roman"/>
        </w:rPr>
      </w:pPr>
      <w:r>
        <w:t>Electronic Arts, Inc. (EA)</w:t>
      </w:r>
      <w:r w:rsidR="004F30D9">
        <w:t xml:space="preserve"> is one of the biggest entertainment software companies in the market, with 9000 employees </w:t>
      </w:r>
      <w:r w:rsidR="00615BC5">
        <w:t>and more than 300 million registered players worldwide</w:t>
      </w:r>
      <w:r w:rsidR="004F30D9">
        <w:t xml:space="preserve">. EA </w:t>
      </w:r>
      <w:r w:rsidR="004F30D9">
        <w:rPr>
          <w:rFonts w:eastAsia="Times New Roman" w:cs="Times New Roman"/>
        </w:rPr>
        <w:t xml:space="preserve"> </w:t>
      </w:r>
      <w:r w:rsidR="004F30D9">
        <w:rPr>
          <w:rFonts w:eastAsia="Times New Roman" w:cs="Times New Roman"/>
        </w:rPr>
        <w:lastRenderedPageBreak/>
        <w:t>develops and distributes “games, content and online services for Internet-connected consoles, personal compu</w:t>
      </w:r>
      <w:r w:rsidR="00A07195">
        <w:rPr>
          <w:rFonts w:eastAsia="Times New Roman" w:cs="Times New Roman"/>
        </w:rPr>
        <w:t>ters, mobile phones and tablets</w:t>
      </w:r>
      <w:r w:rsidR="004F30D9">
        <w:rPr>
          <w:rFonts w:eastAsia="Times New Roman" w:cs="Times New Roman"/>
        </w:rPr>
        <w:t>”</w:t>
      </w:r>
      <w:r w:rsidR="001E7268">
        <w:rPr>
          <w:rFonts w:eastAsia="Times New Roman" w:cs="Times New Roman"/>
        </w:rPr>
        <w:t xml:space="preserve"> </w:t>
      </w:r>
      <w:r w:rsidR="00A07195">
        <w:rPr>
          <w:rFonts w:eastAsia="Times New Roman" w:cs="Times New Roman"/>
        </w:rPr>
        <w:t xml:space="preserve">(EA, 2014, </w:t>
      </w:r>
      <w:r w:rsidR="001E7268">
        <w:rPr>
          <w:rFonts w:eastAsia="Times New Roman" w:cs="Times New Roman"/>
        </w:rPr>
        <w:t xml:space="preserve"> </w:t>
      </w:r>
      <w:r w:rsidR="00A07195">
        <w:rPr>
          <w:rFonts w:eastAsia="Times New Roman" w:cs="Times New Roman"/>
        </w:rPr>
        <w:t xml:space="preserve">p.8). </w:t>
      </w:r>
      <w:r w:rsidR="001E7268">
        <w:rPr>
          <w:rFonts w:eastAsia="Times New Roman" w:cs="Times New Roman"/>
        </w:rPr>
        <w:t>Some of the best-known games produced by EA are The Sims</w:t>
      </w:r>
      <w:r w:rsidR="001E7268" w:rsidRPr="001E7268">
        <w:rPr>
          <w:rFonts w:eastAsia="Times New Roman" w:cs="Times New Roman"/>
          <w:vertAlign w:val="superscript"/>
        </w:rPr>
        <w:t>TM</w:t>
      </w:r>
      <w:r w:rsidR="001E7268">
        <w:rPr>
          <w:rFonts w:eastAsia="Times New Roman" w:cs="Times New Roman"/>
          <w:vertAlign w:val="superscript"/>
        </w:rPr>
        <w:t xml:space="preserve"> </w:t>
      </w:r>
      <w:r w:rsidR="001E7268">
        <w:rPr>
          <w:rFonts w:eastAsia="Times New Roman" w:cs="Times New Roman"/>
        </w:rPr>
        <w:t>, Madden NFL</w:t>
      </w:r>
      <w:r w:rsidR="001E7268" w:rsidRPr="001E7268">
        <w:rPr>
          <w:rFonts w:eastAsia="Times New Roman" w:cs="Times New Roman"/>
          <w:vertAlign w:val="superscript"/>
        </w:rPr>
        <w:t>TM</w:t>
      </w:r>
      <w:r w:rsidR="001E7268">
        <w:rPr>
          <w:rFonts w:eastAsia="Times New Roman" w:cs="Times New Roman"/>
          <w:vertAlign w:val="superscript"/>
        </w:rPr>
        <w:t xml:space="preserve"> </w:t>
      </w:r>
      <w:r w:rsidR="00F37CF9">
        <w:rPr>
          <w:rFonts w:eastAsia="Times New Roman" w:cs="Times New Roman"/>
        </w:rPr>
        <w:t>, and Battlefield</w:t>
      </w:r>
      <w:r w:rsidR="00F37CF9" w:rsidRPr="001E7268">
        <w:rPr>
          <w:rFonts w:eastAsia="Times New Roman" w:cs="Times New Roman"/>
          <w:vertAlign w:val="superscript"/>
        </w:rPr>
        <w:t>TM</w:t>
      </w:r>
      <w:r w:rsidR="00F37CF9">
        <w:rPr>
          <w:rFonts w:eastAsia="Times New Roman" w:cs="Times New Roman"/>
        </w:rPr>
        <w:t xml:space="preserve">. </w:t>
      </w:r>
      <w:r w:rsidR="001E7268">
        <w:rPr>
          <w:rFonts w:eastAsia="Times New Roman" w:cs="Times New Roman"/>
        </w:rPr>
        <w:t xml:space="preserve"> In 2009, EA published more than 60 stand-alone games for consoles. They have reduced the number of console games </w:t>
      </w:r>
      <w:r w:rsidR="00F37CF9">
        <w:rPr>
          <w:rFonts w:eastAsia="Times New Roman" w:cs="Times New Roman"/>
        </w:rPr>
        <w:t xml:space="preserve">produced </w:t>
      </w:r>
      <w:r w:rsidR="001E7268">
        <w:rPr>
          <w:rFonts w:eastAsia="Times New Roman" w:cs="Times New Roman"/>
        </w:rPr>
        <w:t xml:space="preserve">each year since then, with only 13 </w:t>
      </w:r>
      <w:r w:rsidR="00B551C7">
        <w:rPr>
          <w:rFonts w:eastAsia="Times New Roman" w:cs="Times New Roman"/>
        </w:rPr>
        <w:t xml:space="preserve">console </w:t>
      </w:r>
      <w:r w:rsidR="001E7268">
        <w:rPr>
          <w:rFonts w:eastAsia="Times New Roman" w:cs="Times New Roman"/>
        </w:rPr>
        <w:t>titles published in 2013. EA has turned its focus to online content, including additional content and features for its current titles.</w:t>
      </w:r>
      <w:r w:rsidR="00B551C7">
        <w:rPr>
          <w:rFonts w:eastAsia="Times New Roman" w:cs="Times New Roman"/>
        </w:rPr>
        <w:t xml:space="preserve"> As well, EA</w:t>
      </w:r>
      <w:r w:rsidR="00615BC5">
        <w:rPr>
          <w:rFonts w:eastAsia="Times New Roman" w:cs="Times New Roman"/>
        </w:rPr>
        <w:t xml:space="preserve"> has claimed a share of the growing mobile and Internet market with 22 new titles this year. </w:t>
      </w:r>
    </w:p>
    <w:p w14:paraId="0FA93AF7" w14:textId="77777777" w:rsidR="0059192A" w:rsidRDefault="0059192A" w:rsidP="009404B1"/>
    <w:p w14:paraId="20E3FF94" w14:textId="76D946A3" w:rsidR="00615BC5" w:rsidRPr="009422CC" w:rsidRDefault="00811FCD" w:rsidP="009404B1">
      <w:r>
        <w:t xml:space="preserve">Take-Two Interactive Software, Inc. (TTWO) </w:t>
      </w:r>
      <w:r w:rsidR="00860402">
        <w:t xml:space="preserve">is a global developer and distributer of entertainment software. Its two labels, Rockstar Games and 2K Games were founded in 1998 and 2005 respectively. </w:t>
      </w:r>
      <w:r w:rsidR="005A145E">
        <w:t xml:space="preserve"> </w:t>
      </w:r>
      <w:r w:rsidR="00EE6BC2">
        <w:t xml:space="preserve">In just over 16 years, TTWO has established itself as a leader in the field with such games as </w:t>
      </w:r>
      <w:r w:rsidR="009422CC">
        <w:t>Grand Theft Auto</w:t>
      </w:r>
      <w:r w:rsidR="009422CC" w:rsidRPr="001E7268">
        <w:rPr>
          <w:rFonts w:eastAsia="Times New Roman" w:cs="Times New Roman"/>
          <w:vertAlign w:val="superscript"/>
        </w:rPr>
        <w:t>TM</w:t>
      </w:r>
      <w:r w:rsidR="009422CC">
        <w:rPr>
          <w:rFonts w:eastAsia="Times New Roman" w:cs="Times New Roman"/>
          <w:vertAlign w:val="superscript"/>
        </w:rPr>
        <w:t xml:space="preserve"> </w:t>
      </w:r>
      <w:r w:rsidR="009422CC">
        <w:rPr>
          <w:rFonts w:eastAsia="Times New Roman" w:cs="Times New Roman"/>
        </w:rPr>
        <w:t>, Red Dead Redemption</w:t>
      </w:r>
      <w:r w:rsidR="009422CC" w:rsidRPr="001E7268">
        <w:rPr>
          <w:rFonts w:eastAsia="Times New Roman" w:cs="Times New Roman"/>
          <w:vertAlign w:val="superscript"/>
        </w:rPr>
        <w:t>TM</w:t>
      </w:r>
      <w:r w:rsidR="009422CC">
        <w:rPr>
          <w:rFonts w:eastAsia="Times New Roman" w:cs="Times New Roman"/>
          <w:vertAlign w:val="superscript"/>
        </w:rPr>
        <w:t xml:space="preserve"> </w:t>
      </w:r>
      <w:r w:rsidR="009422CC">
        <w:rPr>
          <w:rFonts w:eastAsia="Times New Roman" w:cs="Times New Roman"/>
        </w:rPr>
        <w:t>, and Sid Meier’s Civilization V</w:t>
      </w:r>
      <w:r w:rsidR="009422CC" w:rsidRPr="001E7268">
        <w:rPr>
          <w:rFonts w:eastAsia="Times New Roman" w:cs="Times New Roman"/>
          <w:vertAlign w:val="superscript"/>
        </w:rPr>
        <w:t>TM</w:t>
      </w:r>
      <w:r w:rsidR="009422CC">
        <w:rPr>
          <w:rFonts w:eastAsia="Times New Roman" w:cs="Times New Roman"/>
          <w:vertAlign w:val="superscript"/>
        </w:rPr>
        <w:t xml:space="preserve"> </w:t>
      </w:r>
      <w:r w:rsidR="009422CC">
        <w:rPr>
          <w:rFonts w:eastAsia="Times New Roman" w:cs="Times New Roman"/>
        </w:rPr>
        <w:t>.</w:t>
      </w:r>
      <w:r w:rsidR="005D28BD">
        <w:rPr>
          <w:rFonts w:eastAsia="Times New Roman" w:cs="Times New Roman"/>
        </w:rPr>
        <w:t xml:space="preserve"> TTWO games are largely console agnostic and many have been converted into mobile versions for play on </w:t>
      </w:r>
      <w:r w:rsidR="001A740C">
        <w:rPr>
          <w:rFonts w:eastAsia="Times New Roman" w:cs="Times New Roman"/>
        </w:rPr>
        <w:t>Smartphones</w:t>
      </w:r>
      <w:r w:rsidR="005D28BD">
        <w:rPr>
          <w:rFonts w:eastAsia="Times New Roman" w:cs="Times New Roman"/>
        </w:rPr>
        <w:t xml:space="preserve"> and tablets.</w:t>
      </w:r>
      <w:r w:rsidR="00B85FBE">
        <w:rPr>
          <w:rFonts w:eastAsia="Times New Roman" w:cs="Times New Roman"/>
        </w:rPr>
        <w:t xml:space="preserve"> TTWO recently announced a creative partnership with singer Pharrell Williams, who will curate the soundtrack on the upcoming addition to the NBA® 2k15 franchise.</w:t>
      </w:r>
    </w:p>
    <w:p w14:paraId="0CF69554" w14:textId="77777777" w:rsidR="00615BC5" w:rsidRDefault="00615BC5" w:rsidP="009404B1"/>
    <w:p w14:paraId="57AE3CD5" w14:textId="792A1658" w:rsidR="00DD1127" w:rsidRPr="00DD1127" w:rsidRDefault="00DD1127" w:rsidP="00DD1127">
      <w:r w:rsidRPr="00DD1127">
        <w:t>It is</w:t>
      </w:r>
      <w:r>
        <w:t xml:space="preserve"> important to note that all of these companies depend upon hardware for the delivery of their products. Concurrent </w:t>
      </w:r>
      <w:r w:rsidR="008B41EA">
        <w:t>monitoring</w:t>
      </w:r>
      <w:r>
        <w:t xml:space="preserve"> of the performance of console makers, </w:t>
      </w:r>
      <w:r w:rsidR="008B41EA">
        <w:t xml:space="preserve">E.g. Sony, Xbox, </w:t>
      </w:r>
      <w:r>
        <w:t>Nintendo</w:t>
      </w:r>
      <w:r w:rsidR="008B41EA">
        <w:t>, etc.)</w:t>
      </w:r>
      <w:r>
        <w:t xml:space="preserve"> and </w:t>
      </w:r>
      <w:r w:rsidR="008B41EA">
        <w:t>Mobile equipment producers (Apple, Samsung, LG, etc. )</w:t>
      </w:r>
      <w:r>
        <w:t xml:space="preserve"> </w:t>
      </w:r>
      <w:r w:rsidR="00A07195">
        <w:t>are</w:t>
      </w:r>
      <w:r>
        <w:t xml:space="preserve"> recommended</w:t>
      </w:r>
      <w:r w:rsidR="008B41EA">
        <w:t>.</w:t>
      </w:r>
    </w:p>
    <w:p w14:paraId="3EFEFFF5" w14:textId="77777777" w:rsidR="00DD1127" w:rsidRDefault="00DD1127" w:rsidP="009404B1"/>
    <w:p w14:paraId="7978456F" w14:textId="2E1C69F9" w:rsidR="00B85FBE" w:rsidRPr="00B154B6" w:rsidRDefault="00B85FBE" w:rsidP="009404B1">
      <w:pPr>
        <w:rPr>
          <w:b/>
        </w:rPr>
      </w:pPr>
      <w:r>
        <w:rPr>
          <w:b/>
        </w:rPr>
        <w:t xml:space="preserve">Company </w:t>
      </w:r>
      <w:r w:rsidRPr="00CE1E20">
        <w:rPr>
          <w:b/>
        </w:rPr>
        <w:t>Comparison</w:t>
      </w:r>
      <w:r>
        <w:rPr>
          <w:b/>
        </w:rPr>
        <w:t xml:space="preserve">s: Profitability and Potential </w:t>
      </w:r>
    </w:p>
    <w:p w14:paraId="27273831" w14:textId="77777777" w:rsidR="00EC1C9A" w:rsidRDefault="00EC1C9A" w:rsidP="009404B1"/>
    <w:p w14:paraId="03681CE5" w14:textId="1F7F4014" w:rsidR="005D28BD" w:rsidRPr="008B41EA" w:rsidRDefault="008B41EA" w:rsidP="009404B1">
      <w:pPr>
        <w:rPr>
          <w:b/>
        </w:rPr>
      </w:pPr>
      <w:r w:rsidRPr="008B41EA">
        <w:rPr>
          <w:b/>
        </w:rPr>
        <w:t>Figure 1. Comparison of Stock Prices for EA, ATVI, and TTWO</w:t>
      </w:r>
      <w:r>
        <w:rPr>
          <w:b/>
        </w:rPr>
        <w:t>,</w:t>
      </w:r>
      <w:r w:rsidRPr="008B41EA">
        <w:rPr>
          <w:b/>
        </w:rPr>
        <w:t xml:space="preserve"> </w:t>
      </w:r>
      <w:r w:rsidR="00E920BF">
        <w:rPr>
          <w:b/>
        </w:rPr>
        <w:t xml:space="preserve"> </w:t>
      </w:r>
      <w:r w:rsidRPr="008B41EA">
        <w:rPr>
          <w:b/>
        </w:rPr>
        <w:t>July 2013</w:t>
      </w:r>
      <w:r>
        <w:rPr>
          <w:b/>
        </w:rPr>
        <w:t xml:space="preserve"> - June 2014</w:t>
      </w:r>
      <w:r w:rsidRPr="008B41EA">
        <w:rPr>
          <w:b/>
        </w:rPr>
        <w:t xml:space="preserve"> </w:t>
      </w:r>
    </w:p>
    <w:p w14:paraId="40735750" w14:textId="61D8A005" w:rsidR="001E1DE9" w:rsidRDefault="00E920BF" w:rsidP="009404B1">
      <w:r>
        <w:rPr>
          <w:noProof/>
        </w:rPr>
        <mc:AlternateContent>
          <mc:Choice Requires="wps">
            <w:drawing>
              <wp:anchor distT="0" distB="0" distL="114300" distR="114300" simplePos="0" relativeHeight="251660288" behindDoc="0" locked="0" layoutInCell="1" allowOverlap="1" wp14:anchorId="66A9DFF7" wp14:editId="19B3BDA6">
                <wp:simplePos x="0" y="0"/>
                <wp:positionH relativeFrom="column">
                  <wp:posOffset>6057900</wp:posOffset>
                </wp:positionH>
                <wp:positionV relativeFrom="paragraph">
                  <wp:posOffset>512445</wp:posOffset>
                </wp:positionV>
                <wp:extent cx="3429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40.35pt" to="7in,4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" strokecolor="#8064a2 [3207]" strokeweight="2pt">
                <v:shadow on="t" opacity="24903f" mv:blur="40000f" origin=",.5" offset="0,20000emu"/>
              </v:line>
            </w:pict>
          </mc:Fallback>
        </mc:AlternateContent>
      </w:r>
      <w:r>
        <w:rPr>
          <w:noProof/>
        </w:rPr>
        <mc:AlternateContent>
          <mc:Choice Requires="wps">
            <w:drawing>
              <wp:anchor distT="0" distB="0" distL="114300" distR="114300" simplePos="0" relativeHeight="251661312" behindDoc="0" locked="0" layoutInCell="1" allowOverlap="1" wp14:anchorId="03CBDDB7" wp14:editId="0DDCB121">
                <wp:simplePos x="0" y="0"/>
                <wp:positionH relativeFrom="column">
                  <wp:posOffset>6057900</wp:posOffset>
                </wp:positionH>
                <wp:positionV relativeFrom="paragraph">
                  <wp:posOffset>855345</wp:posOffset>
                </wp:positionV>
                <wp:extent cx="342900" cy="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7pt,67.35pt" to="7in,6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" strokecolor="#f79646 [3209]" strokeweight="2pt">
                <v:shadow on="t" opacity="24903f" mv:blur="40000f" origin=",.5" offset="0,20000emu"/>
              </v:line>
            </w:pict>
          </mc:Fallback>
        </mc:AlternateContent>
      </w:r>
      <w:r>
        <w:rPr>
          <w:noProof/>
        </w:rPr>
        <mc:AlternateContent>
          <mc:Choice Requires="wps">
            <w:drawing>
              <wp:anchor distT="0" distB="0" distL="114300" distR="114300" simplePos="0" relativeHeight="251662336" behindDoc="0" locked="0" layoutInCell="1" allowOverlap="1" wp14:anchorId="3616DB58" wp14:editId="784A3A1E">
                <wp:simplePos x="0" y="0"/>
                <wp:positionH relativeFrom="column">
                  <wp:posOffset>6057900</wp:posOffset>
                </wp:positionH>
                <wp:positionV relativeFrom="paragraph">
                  <wp:posOffset>1198245</wp:posOffset>
                </wp:positionV>
                <wp:extent cx="342900" cy="0"/>
                <wp:effectExtent l="50800" t="50800" r="63500" b="101600"/>
                <wp:wrapNone/>
                <wp:docPr id="8" name="Straight Connector 8"/>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7pt,94.35pt" to="7in,9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" strokecolor="#4f81bd [3204]" strokeweight="3pt">
                <v:shadow on="t" opacity="22937f" mv:blur="40000f" origin=",.5" offset="0,23000emu"/>
              </v:line>
            </w:pict>
          </mc:Fallback>
        </mc:AlternateContent>
      </w:r>
      <w:r>
        <w:rPr>
          <w:noProof/>
        </w:rPr>
        <mc:AlternateContent>
          <mc:Choice Requires="wps">
            <w:drawing>
              <wp:anchor distT="0" distB="0" distL="114300" distR="114300" simplePos="0" relativeHeight="251657215" behindDoc="0" locked="0" layoutInCell="1" allowOverlap="1" wp14:anchorId="5BD4AD93" wp14:editId="4E7FD8FA">
                <wp:simplePos x="0" y="0"/>
                <wp:positionH relativeFrom="column">
                  <wp:posOffset>5486400</wp:posOffset>
                </wp:positionH>
                <wp:positionV relativeFrom="paragraph">
                  <wp:posOffset>169545</wp:posOffset>
                </wp:positionV>
                <wp:extent cx="10287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0287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CAD527" w14:textId="1689DE73" w:rsidR="00F817B2" w:rsidRPr="00147262" w:rsidRDefault="00F817B2">
                            <w:pPr>
                              <w:rPr>
                                <w:u w:val="single"/>
                              </w:rPr>
                            </w:pPr>
                            <w:r w:rsidRPr="00147262">
                              <w:rPr>
                                <w:u w:val="single"/>
                              </w:rPr>
                              <w:t>Trend lines</w:t>
                            </w:r>
                          </w:p>
                          <w:p w14:paraId="57FEAA1D" w14:textId="69690543" w:rsidR="00F817B2" w:rsidRDefault="00F817B2">
                            <w:r>
                              <w:t xml:space="preserve">EA </w:t>
                            </w:r>
                          </w:p>
                          <w:p w14:paraId="17BFC321" w14:textId="77777777" w:rsidR="00F817B2" w:rsidRDefault="00F817B2"/>
                          <w:p w14:paraId="3D8EA74E" w14:textId="77777777" w:rsidR="00F817B2" w:rsidRDefault="00F817B2">
                            <w:r>
                              <w:t>ATVI</w:t>
                            </w:r>
                          </w:p>
                          <w:p w14:paraId="5821A15F" w14:textId="77777777" w:rsidR="00F817B2" w:rsidRDefault="00F817B2"/>
                          <w:p w14:paraId="777A480F" w14:textId="1D3892FB" w:rsidR="00F817B2" w:rsidRDefault="00F817B2">
                            <w:r>
                              <w:t xml:space="preserve">TTWO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6in;margin-top:13.35pt;width:81pt;height:2in;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M56M0CAAAP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" filled="f" stroked="f">
                <v:textbox>
                  <w:txbxContent>
                    <w:p w14:paraId="74CAD527" w14:textId="1689DE73" w:rsidR="00F817B2" w:rsidRPr="00147262" w:rsidRDefault="00F817B2">
                      <w:pPr>
                        <w:rPr>
                          <w:u w:val="single"/>
                        </w:rPr>
                      </w:pPr>
                      <w:r w:rsidRPr="00147262">
                        <w:rPr>
                          <w:u w:val="single"/>
                        </w:rPr>
                        <w:t>Trend lines</w:t>
                      </w:r>
                    </w:p>
                    <w:p w14:paraId="57FEAA1D" w14:textId="69690543" w:rsidR="00F817B2" w:rsidRDefault="00F817B2">
                      <w:r>
                        <w:t xml:space="preserve">EA </w:t>
                      </w:r>
                    </w:p>
                    <w:p w14:paraId="17BFC321" w14:textId="77777777" w:rsidR="00F817B2" w:rsidRDefault="00F817B2"/>
                    <w:p w14:paraId="3D8EA74E" w14:textId="77777777" w:rsidR="00F817B2" w:rsidRDefault="00F817B2">
                      <w:r>
                        <w:t>ATVI</w:t>
                      </w:r>
                    </w:p>
                    <w:p w14:paraId="5821A15F" w14:textId="77777777" w:rsidR="00F817B2" w:rsidRDefault="00F817B2"/>
                    <w:p w14:paraId="777A480F" w14:textId="1D3892FB" w:rsidR="00F817B2" w:rsidRDefault="00F817B2">
                      <w:r>
                        <w:t xml:space="preserve">TTWO </w:t>
                      </w:r>
                    </w:p>
                  </w:txbxContent>
                </v:textbox>
                <w10:wrap type="square"/>
              </v:shape>
            </w:pict>
          </mc:Fallback>
        </mc:AlternateContent>
      </w:r>
      <w:r w:rsidR="008B41EA">
        <w:rPr>
          <w:noProof/>
        </w:rPr>
        <mc:AlternateContent>
          <mc:Choice Requires="wps">
            <w:drawing>
              <wp:anchor distT="0" distB="0" distL="114300" distR="114300" simplePos="0" relativeHeight="251663360" behindDoc="0" locked="0" layoutInCell="1" allowOverlap="1" wp14:anchorId="7A2DB009" wp14:editId="24921BF9">
                <wp:simplePos x="0" y="0"/>
                <wp:positionH relativeFrom="column">
                  <wp:posOffset>-1028700</wp:posOffset>
                </wp:positionH>
                <wp:positionV relativeFrom="paragraph">
                  <wp:posOffset>1183640</wp:posOffset>
                </wp:positionV>
                <wp:extent cx="1714500" cy="342900"/>
                <wp:effectExtent l="0" t="0" r="12700" b="0"/>
                <wp:wrapNone/>
                <wp:docPr id="10" name="Text Box 10"/>
                <wp:cNvGraphicFramePr/>
                <a:graphic xmlns:a="http://schemas.openxmlformats.org/drawingml/2006/main">
                  <a:graphicData uri="http://schemas.microsoft.com/office/word/2010/wordprocessingShape">
                    <wps:wsp>
                      <wps:cNvSpPr txBox="1"/>
                      <wps:spPr>
                        <a:xfrm rot="16200000">
                          <a:off x="0" y="0"/>
                          <a:ext cx="17145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B1D1E4" w14:textId="1DA8B431" w:rsidR="00F817B2" w:rsidRPr="008B41EA" w:rsidRDefault="00F817B2">
                            <w:pPr>
                              <w:rPr>
                                <w:b/>
                              </w:rPr>
                            </w:pPr>
                            <w:r w:rsidRPr="008B41EA">
                              <w:rPr>
                                <w:b/>
                              </w:rPr>
                              <w:t>Price per Share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80.95pt;margin-top:93.2pt;width:135pt;height:2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" filled="f" stroked="f">
                <v:textbox>
                  <w:txbxContent>
                    <w:p w14:paraId="3DB1D1E4" w14:textId="1DA8B431" w:rsidR="00F817B2" w:rsidRPr="008B41EA" w:rsidRDefault="00F817B2">
                      <w:pPr>
                        <w:rPr>
                          <w:b/>
                        </w:rPr>
                      </w:pPr>
                      <w:r w:rsidRPr="008B41EA">
                        <w:rPr>
                          <w:b/>
                        </w:rPr>
                        <w:t>Price per Share</w:t>
                      </w:r>
                    </w:p>
                  </w:txbxContent>
                </v:textbox>
              </v:shape>
            </w:pict>
          </mc:Fallback>
        </mc:AlternateContent>
      </w:r>
      <w:r w:rsidR="004F43CA" w:rsidRPr="004F43CA">
        <w:rPr>
          <w:noProof/>
        </w:rPr>
        <w:t xml:space="preserve"> </w:t>
      </w:r>
      <w:r w:rsidR="004F43CA">
        <w:rPr>
          <w:noProof/>
        </w:rPr>
        <w:drawing>
          <wp:inline distT="0" distB="0" distL="0" distR="0" wp14:anchorId="25E52627" wp14:editId="5009063C">
            <wp:extent cx="5567045" cy="3029639"/>
            <wp:effectExtent l="0" t="0" r="20955" b="1841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3E9719B" w14:textId="72799DC2" w:rsidR="001E1DE9" w:rsidRDefault="008B41EA" w:rsidP="009404B1">
      <w:r>
        <w:t>Source: NASDAQ</w:t>
      </w:r>
    </w:p>
    <w:p w14:paraId="412ADAB5" w14:textId="77777777" w:rsidR="00DD1127" w:rsidRDefault="00DD1127" w:rsidP="00CE1E20">
      <w:pPr>
        <w:rPr>
          <w:b/>
        </w:rPr>
      </w:pPr>
    </w:p>
    <w:p w14:paraId="55B1958F" w14:textId="039948DF" w:rsidR="00E920BF" w:rsidRDefault="00E920BF" w:rsidP="00E920BF">
      <w:r>
        <w:lastRenderedPageBreak/>
        <w:t xml:space="preserve">The trend lines in this chart (Figure 1) show that all three stocks have continued to increase in value over the past year. EA stock has the highest </w:t>
      </w:r>
      <w:r w:rsidR="00693DA3">
        <w:t xml:space="preserve">current </w:t>
      </w:r>
      <w:r>
        <w:t>closing price of the three at</w:t>
      </w:r>
      <w:r w:rsidR="00693DA3">
        <w:t xml:space="preserve"> $34.34. This is</w:t>
      </w:r>
      <w:r>
        <w:t xml:space="preserve"> an overall 12-mont</w:t>
      </w:r>
      <w:r w:rsidR="00693DA3">
        <w:t>h rise in the price per share of</w:t>
      </w:r>
      <w:r>
        <w:t xml:space="preserve"> $7.81. Notwithstanding the mid-November to February, 2013 </w:t>
      </w:r>
      <w:r w:rsidR="00693DA3">
        <w:t xml:space="preserve">price </w:t>
      </w:r>
      <w:r>
        <w:t xml:space="preserve">slump, EA stocks have rallied and </w:t>
      </w:r>
      <w:r w:rsidR="00693DA3">
        <w:t xml:space="preserve">have </w:t>
      </w:r>
      <w:r>
        <w:t xml:space="preserve">outperformed the competition by a margin. </w:t>
      </w:r>
    </w:p>
    <w:p w14:paraId="57B79C91" w14:textId="77777777" w:rsidR="00E920BF" w:rsidRDefault="00E920BF" w:rsidP="00E920BF"/>
    <w:p w14:paraId="6A73B452" w14:textId="0810FEEB" w:rsidR="00E920BF" w:rsidRDefault="00E920BF" w:rsidP="00E920BF">
      <w:r>
        <w:t>In a side-by-side comparison</w:t>
      </w:r>
      <w:r w:rsidR="004975EC">
        <w:t xml:space="preserve"> of these stocks</w:t>
      </w:r>
      <w:r>
        <w:t>, the one-year</w:t>
      </w:r>
      <w:r w:rsidR="00532A90">
        <w:t>,</w:t>
      </w:r>
      <w:r>
        <w:t xml:space="preserve"> return-on-investment for EA is a gain of 32.08%. This is only slightly higher than TTWO, with a gain of 31.24%, and </w:t>
      </w:r>
      <w:r w:rsidR="00783242">
        <w:t xml:space="preserve">ATVI, with a gain of 28.51%. By any standard, all three stocks can be considered profitable in the past year. For each, </w:t>
      </w:r>
      <w:r w:rsidR="004975EC">
        <w:t>strong management and positive cash flow back this profitability</w:t>
      </w:r>
      <w:r w:rsidR="00783242">
        <w:t>.</w:t>
      </w:r>
    </w:p>
    <w:p w14:paraId="117CA0FF" w14:textId="2A8A2E09" w:rsidR="00E920BF" w:rsidRDefault="004975EC" w:rsidP="00CE1E20">
      <w:r>
        <w:t>Roughly 50% of the liabilities for these young companies are</w:t>
      </w:r>
      <w:r w:rsidR="00783242">
        <w:t xml:space="preserve"> shareholder</w:t>
      </w:r>
      <w:r w:rsidR="001A6C88">
        <w:t xml:space="preserve"> assets</w:t>
      </w:r>
      <w:r w:rsidR="00783242">
        <w:t xml:space="preserve">. </w:t>
      </w:r>
      <w:r w:rsidR="001A6C88">
        <w:t>Both EA and ATVI have significant stock buy-back plans in force.</w:t>
      </w:r>
    </w:p>
    <w:p w14:paraId="7EB76B7E" w14:textId="77777777" w:rsidR="00783242" w:rsidRDefault="00783242" w:rsidP="00CE1E20">
      <w:pPr>
        <w:rPr>
          <w:b/>
        </w:rPr>
      </w:pPr>
    </w:p>
    <w:p w14:paraId="1DC3C007" w14:textId="20AFC6F1" w:rsidR="00CE1E20" w:rsidRDefault="00CE1E20" w:rsidP="00CE1E20">
      <w:pPr>
        <w:rPr>
          <w:b/>
        </w:rPr>
      </w:pPr>
      <w:r>
        <w:rPr>
          <w:b/>
        </w:rPr>
        <w:t>Recommendations</w:t>
      </w:r>
    </w:p>
    <w:p w14:paraId="7EFDF1E1" w14:textId="77777777" w:rsidR="00A07195" w:rsidRDefault="00A07195" w:rsidP="00CE1E20">
      <w:pPr>
        <w:rPr>
          <w:b/>
          <w:color w:val="0070C0"/>
        </w:rPr>
      </w:pPr>
    </w:p>
    <w:p w14:paraId="79AA98AB" w14:textId="16A6C0B6" w:rsidR="00CE1E20" w:rsidRDefault="00825EB2" w:rsidP="00CE1E20">
      <w:r w:rsidRPr="00825EB2">
        <w:t>Each</w:t>
      </w:r>
      <w:r>
        <w:t xml:space="preserve"> of the stocks</w:t>
      </w:r>
      <w:r w:rsidR="008A33E2">
        <w:t xml:space="preserve"> discussed above</w:t>
      </w:r>
      <w:r>
        <w:t xml:space="preserve"> have seen active gains over the past year</w:t>
      </w:r>
      <w:r w:rsidR="0028358A">
        <w:t xml:space="preserve"> and all</w:t>
      </w:r>
      <w:r w:rsidR="00B01DC0">
        <w:t xml:space="preserve"> of them</w:t>
      </w:r>
      <w:r w:rsidR="0028358A">
        <w:t xml:space="preserve"> have reason to </w:t>
      </w:r>
      <w:r w:rsidR="008A33E2">
        <w:t xml:space="preserve">anticipate </w:t>
      </w:r>
      <w:r w:rsidR="0028358A">
        <w:t xml:space="preserve">a </w:t>
      </w:r>
      <w:r w:rsidR="008A33E2">
        <w:t>continuing up trend in to</w:t>
      </w:r>
      <w:r w:rsidR="0028358A">
        <w:t xml:space="preserve"> 2015. In particular</w:t>
      </w:r>
      <w:r w:rsidR="008A33E2">
        <w:t>,</w:t>
      </w:r>
      <w:r w:rsidR="0028358A">
        <w:t xml:space="preserve"> the strong console game market and the burgeoning mobile game market point to </w:t>
      </w:r>
      <w:r w:rsidR="00B01DC0">
        <w:t>continued growth and profitability</w:t>
      </w:r>
      <w:r w:rsidR="0028358A">
        <w:t xml:space="preserve">. </w:t>
      </w:r>
      <w:r w:rsidR="001A6C88">
        <w:t xml:space="preserve"> All three have a significant </w:t>
      </w:r>
      <w:r w:rsidR="004975EC">
        <w:t>track record</w:t>
      </w:r>
      <w:r w:rsidR="001A6C88">
        <w:t xml:space="preserve"> for producing top-selling games.</w:t>
      </w:r>
    </w:p>
    <w:p w14:paraId="1A719544" w14:textId="77777777" w:rsidR="00AB529E" w:rsidRDefault="00AB529E" w:rsidP="00CE1E20"/>
    <w:p w14:paraId="1866C37B" w14:textId="4B91EF8B" w:rsidR="00AB529E" w:rsidRDefault="001A6C88" w:rsidP="00CE1E20">
      <w:r>
        <w:t xml:space="preserve">If your investors must select only one stock, </w:t>
      </w:r>
      <w:r w:rsidR="004975EC">
        <w:t>the</w:t>
      </w:r>
      <w:r w:rsidR="00AB529E">
        <w:t xml:space="preserve"> suggested order of priority would be: </w:t>
      </w:r>
    </w:p>
    <w:p w14:paraId="6F353AD3" w14:textId="77777777" w:rsidR="00A07195" w:rsidRDefault="00A07195" w:rsidP="00CE1E20"/>
    <w:p w14:paraId="25942358" w14:textId="77777777" w:rsidR="00AB529E" w:rsidRDefault="00AB529E" w:rsidP="00AB529E">
      <w:pPr>
        <w:pStyle w:val="ListParagraph"/>
        <w:numPr>
          <w:ilvl w:val="0"/>
          <w:numId w:val="4"/>
        </w:numPr>
      </w:pPr>
      <w:r>
        <w:t>Electronic Arts (EA)</w:t>
      </w:r>
    </w:p>
    <w:p w14:paraId="227C9B19" w14:textId="645CBD9D" w:rsidR="00AB529E" w:rsidRDefault="00AB529E" w:rsidP="00AB529E">
      <w:pPr>
        <w:pStyle w:val="ListParagraph"/>
        <w:numPr>
          <w:ilvl w:val="0"/>
          <w:numId w:val="4"/>
        </w:numPr>
      </w:pPr>
      <w:r>
        <w:t>Activision/Blizzard (A</w:t>
      </w:r>
      <w:r w:rsidR="004975EC">
        <w:t>TVI</w:t>
      </w:r>
      <w:r>
        <w:t>)</w:t>
      </w:r>
    </w:p>
    <w:p w14:paraId="0C2E6343" w14:textId="021BC3C7" w:rsidR="00147262" w:rsidRDefault="00147262" w:rsidP="00AB529E">
      <w:pPr>
        <w:pStyle w:val="ListParagraph"/>
        <w:numPr>
          <w:ilvl w:val="0"/>
          <w:numId w:val="4"/>
        </w:numPr>
      </w:pPr>
      <w:r>
        <w:t>Take Two (TTWO)</w:t>
      </w:r>
    </w:p>
    <w:p w14:paraId="681E94AE" w14:textId="77777777" w:rsidR="00A07195" w:rsidRDefault="00A07195" w:rsidP="00CE1E20">
      <w:pPr>
        <w:rPr>
          <w:color w:val="0070C0"/>
        </w:rPr>
      </w:pPr>
    </w:p>
    <w:p w14:paraId="2156DF9B" w14:textId="05961D32" w:rsidR="00AB529E" w:rsidRPr="00825EB2" w:rsidRDefault="004975EC" w:rsidP="00CE1E20">
      <w:r>
        <w:t xml:space="preserve">EA is a reliable giant in the industry. </w:t>
      </w:r>
      <w:r w:rsidR="00726C92">
        <w:t>A</w:t>
      </w:r>
      <w:r>
        <w:t>TV</w:t>
      </w:r>
      <w:r w:rsidR="00726C92">
        <w:t>I and TTWO appear to have a similar record of performance for the past year. However, AVTI’s reputation and the excitement generated by the announcement of the new Destiny franchise give it an edge over this competitor.</w:t>
      </w:r>
    </w:p>
    <w:p w14:paraId="05A9556E" w14:textId="77777777" w:rsidR="00726C92" w:rsidRDefault="00726C92" w:rsidP="00726C92">
      <w:pPr>
        <w:rPr>
          <w:b/>
        </w:rPr>
      </w:pPr>
    </w:p>
    <w:p w14:paraId="4C3F11C9" w14:textId="0D1A1E0B" w:rsidR="00726C92" w:rsidRDefault="00AB364B" w:rsidP="00726C92">
      <w:pPr>
        <w:rPr>
          <w:b/>
        </w:rPr>
      </w:pPr>
      <w:r>
        <w:rPr>
          <w:b/>
        </w:rPr>
        <w:t>Cautionary Note</w:t>
      </w:r>
    </w:p>
    <w:p w14:paraId="783AC3EE" w14:textId="77777777" w:rsidR="00A07195" w:rsidRDefault="00A07195" w:rsidP="00726C92">
      <w:pPr>
        <w:rPr>
          <w:b/>
          <w:color w:val="0070C0"/>
        </w:rPr>
      </w:pPr>
    </w:p>
    <w:p w14:paraId="1FEDB171" w14:textId="37E02053" w:rsidR="00726C92" w:rsidRDefault="001A6C88" w:rsidP="00726C92">
      <w:r>
        <w:t>Past performance does not guarantee future earnings. T</w:t>
      </w:r>
      <w:r w:rsidR="00726C92">
        <w:t xml:space="preserve">here are a number of recognized factors that can have a negative impact on the market value </w:t>
      </w:r>
      <w:r w:rsidR="00DD1127">
        <w:t xml:space="preserve">and performance </w:t>
      </w:r>
      <w:r w:rsidR="00726C92">
        <w:t>of these kinds of stocks:</w:t>
      </w:r>
      <w:r w:rsidR="00DD1127">
        <w:t xml:space="preserve"> </w:t>
      </w:r>
      <w:r w:rsidR="00726C92">
        <w:t xml:space="preserve"> </w:t>
      </w:r>
      <w:r>
        <w:t>the economy, competition, unforeseen production difficulties, intellectual property suits, and so forth.</w:t>
      </w:r>
      <w:r w:rsidR="00726C92">
        <w:t>.</w:t>
      </w:r>
    </w:p>
    <w:p w14:paraId="378CC91F" w14:textId="77777777" w:rsidR="004F30D9" w:rsidRDefault="004F30D9" w:rsidP="00726C92"/>
    <w:p w14:paraId="246E4AFA" w14:textId="203DAE70" w:rsidR="00F70326" w:rsidRDefault="007C16D0" w:rsidP="00726C92">
      <w:pPr>
        <w:rPr>
          <w:b/>
        </w:rPr>
      </w:pPr>
      <w:r w:rsidRPr="007C16D0">
        <w:rPr>
          <w:b/>
        </w:rPr>
        <w:t>Next Steps</w:t>
      </w:r>
    </w:p>
    <w:p w14:paraId="017B70CF" w14:textId="77777777" w:rsidR="00A07195" w:rsidRDefault="00A07195" w:rsidP="00077FB7">
      <w:pPr>
        <w:rPr>
          <w:b/>
          <w:color w:val="0070C0"/>
        </w:rPr>
      </w:pPr>
    </w:p>
    <w:p w14:paraId="2205E27D" w14:textId="7B79E3B0" w:rsidR="00077FB7" w:rsidRDefault="001A6C88" w:rsidP="00077FB7">
      <w:r>
        <w:t xml:space="preserve">As the above </w:t>
      </w:r>
      <w:r w:rsidR="00D00C67">
        <w:t>recommendations have been greatly abbreviated. I expect that you might have questions</w:t>
      </w:r>
      <w:r w:rsidR="00BC0C00">
        <w:t>.</w:t>
      </w:r>
      <w:r w:rsidR="00D00C67">
        <w:t xml:space="preserve"> I recommend that we meet in </w:t>
      </w:r>
      <w:r w:rsidR="00BC0C00">
        <w:t xml:space="preserve">a Web Conference using </w:t>
      </w:r>
      <w:r w:rsidR="00077FB7">
        <w:t xml:space="preserve">Gotomeeting </w:t>
      </w:r>
      <w:r w:rsidR="00D00C67">
        <w:t>next Tuesday</w:t>
      </w:r>
      <w:r w:rsidR="006B25CF">
        <w:t>, August 5</w:t>
      </w:r>
      <w:r w:rsidR="00D00C67">
        <w:t xml:space="preserve"> at 2PM.</w:t>
      </w:r>
      <w:r w:rsidR="00077FB7">
        <w:t xml:space="preserve"> These are the sign-in instructions:</w:t>
      </w:r>
    </w:p>
    <w:p w14:paraId="56CE9C71" w14:textId="64AF37D3" w:rsidR="00077FB7" w:rsidRPr="00077FB7" w:rsidRDefault="001A6C88" w:rsidP="00077FB7">
      <w:pPr>
        <w:pStyle w:val="NormalWeb"/>
        <w:numPr>
          <w:ilvl w:val="0"/>
          <w:numId w:val="5"/>
        </w:numPr>
        <w:rPr>
          <w:rFonts w:asciiTheme="minorHAnsi" w:hAnsiTheme="minorHAnsi"/>
          <w:sz w:val="24"/>
          <w:szCs w:val="24"/>
        </w:rPr>
      </w:pPr>
      <w:r>
        <w:rPr>
          <w:rFonts w:asciiTheme="minorHAnsi" w:hAnsiTheme="minorHAnsi"/>
          <w:sz w:val="24"/>
          <w:szCs w:val="24"/>
        </w:rPr>
        <w:t>Link</w:t>
      </w:r>
      <w:r w:rsidR="00077FB7">
        <w:rPr>
          <w:rFonts w:asciiTheme="minorHAnsi" w:hAnsiTheme="minorHAnsi"/>
          <w:sz w:val="24"/>
          <w:szCs w:val="24"/>
        </w:rPr>
        <w:t xml:space="preserve"> to join the meeting:</w:t>
      </w:r>
      <w:r>
        <w:rPr>
          <w:rFonts w:asciiTheme="minorHAnsi" w:hAnsiTheme="minorHAnsi"/>
          <w:sz w:val="24"/>
          <w:szCs w:val="24"/>
        </w:rPr>
        <w:t xml:space="preserve"> </w:t>
      </w:r>
      <w:hyperlink r:id="rId10" w:history="1">
        <w:r w:rsidR="00077FB7" w:rsidRPr="00000572">
          <w:rPr>
            <w:rStyle w:val="Hyperlink"/>
            <w:rFonts w:asciiTheme="minorHAnsi" w:hAnsiTheme="minorHAnsi"/>
            <w:sz w:val="24"/>
            <w:szCs w:val="24"/>
          </w:rPr>
          <w:t>https://global.gotomeeting.com/meeting/join/534716693</w:t>
        </w:r>
      </w:hyperlink>
      <w:r w:rsidR="00077FB7" w:rsidRPr="00077FB7">
        <w:rPr>
          <w:rFonts w:asciiTheme="minorHAnsi" w:hAnsiTheme="minorHAnsi"/>
          <w:sz w:val="24"/>
          <w:szCs w:val="24"/>
        </w:rPr>
        <w:t xml:space="preserve"> </w:t>
      </w:r>
    </w:p>
    <w:p w14:paraId="77349390" w14:textId="0CECC6A7" w:rsidR="00077FB7" w:rsidRPr="00077FB7" w:rsidRDefault="004975EC" w:rsidP="00077FB7">
      <w:pPr>
        <w:pStyle w:val="NormalWeb"/>
        <w:numPr>
          <w:ilvl w:val="0"/>
          <w:numId w:val="5"/>
        </w:numPr>
        <w:rPr>
          <w:rFonts w:asciiTheme="minorHAnsi" w:hAnsiTheme="minorHAnsi"/>
          <w:sz w:val="24"/>
          <w:szCs w:val="24"/>
        </w:rPr>
      </w:pPr>
      <w:r>
        <w:rPr>
          <w:rFonts w:asciiTheme="minorHAnsi" w:hAnsiTheme="minorHAnsi"/>
          <w:sz w:val="24"/>
          <w:szCs w:val="24"/>
        </w:rPr>
        <w:lastRenderedPageBreak/>
        <w:t>Use either the</w:t>
      </w:r>
      <w:r w:rsidRPr="00077FB7">
        <w:rPr>
          <w:rFonts w:asciiTheme="minorHAnsi" w:hAnsiTheme="minorHAnsi"/>
          <w:sz w:val="24"/>
          <w:szCs w:val="24"/>
        </w:rPr>
        <w:t xml:space="preserve"> microphon</w:t>
      </w:r>
      <w:r>
        <w:rPr>
          <w:rFonts w:asciiTheme="minorHAnsi" w:hAnsiTheme="minorHAnsi"/>
          <w:sz w:val="24"/>
          <w:szCs w:val="24"/>
        </w:rPr>
        <w:t>e/</w:t>
      </w:r>
      <w:r w:rsidRPr="00077FB7">
        <w:rPr>
          <w:rFonts w:asciiTheme="minorHAnsi" w:hAnsiTheme="minorHAnsi"/>
          <w:sz w:val="24"/>
          <w:szCs w:val="24"/>
        </w:rPr>
        <w:t xml:space="preserve">speakers (VoIP) </w:t>
      </w:r>
      <w:r>
        <w:rPr>
          <w:rFonts w:asciiTheme="minorHAnsi" w:hAnsiTheme="minorHAnsi"/>
          <w:sz w:val="24"/>
          <w:szCs w:val="24"/>
        </w:rPr>
        <w:t xml:space="preserve"> on your computer or</w:t>
      </w:r>
      <w:r w:rsidRPr="00077FB7">
        <w:rPr>
          <w:rFonts w:asciiTheme="minorHAnsi" w:hAnsiTheme="minorHAnsi"/>
          <w:sz w:val="24"/>
          <w:szCs w:val="24"/>
        </w:rPr>
        <w:t xml:space="preserve"> call in using your telephone. </w:t>
      </w:r>
      <w:r>
        <w:rPr>
          <w:rFonts w:asciiTheme="minorHAnsi" w:hAnsiTheme="minorHAnsi"/>
          <w:sz w:val="24"/>
          <w:szCs w:val="24"/>
        </w:rPr>
        <w:t xml:space="preserve"> </w:t>
      </w:r>
      <w:r w:rsidRPr="00077FB7">
        <w:rPr>
          <w:rFonts w:asciiTheme="minorHAnsi" w:hAnsiTheme="minorHAnsi"/>
          <w:sz w:val="24"/>
          <w:szCs w:val="24"/>
        </w:rPr>
        <w:t xml:space="preserve"> </w:t>
      </w:r>
      <w:r w:rsidR="000D7049">
        <w:fldChar w:fldCharType="begin"/>
      </w:r>
      <w:r w:rsidR="000D7049">
        <w:instrText xml:space="preserve"> HYPERLINK "tel:%2B1%20%28571%29%20317-3112" \t "_blank" </w:instrText>
      </w:r>
      <w:r w:rsidR="000D7049">
        <w:fldChar w:fldCharType="separate"/>
      </w:r>
      <w:r w:rsidR="00077FB7">
        <w:rPr>
          <w:rStyle w:val="Hyperlink"/>
          <w:rFonts w:asciiTheme="minorHAnsi" w:hAnsiTheme="minorHAnsi"/>
          <w:sz w:val="24"/>
          <w:szCs w:val="24"/>
        </w:rPr>
        <w:t>+1 (571) 318</w:t>
      </w:r>
      <w:r w:rsidR="00077FB7" w:rsidRPr="00077FB7">
        <w:rPr>
          <w:rStyle w:val="Hyperlink"/>
          <w:rFonts w:asciiTheme="minorHAnsi" w:hAnsiTheme="minorHAnsi"/>
          <w:sz w:val="24"/>
          <w:szCs w:val="24"/>
        </w:rPr>
        <w:t>-3112</w:t>
      </w:r>
      <w:r w:rsidR="000D7049">
        <w:rPr>
          <w:rStyle w:val="Hyperlink"/>
          <w:rFonts w:asciiTheme="minorHAnsi" w:hAnsiTheme="minorHAnsi"/>
          <w:sz w:val="24"/>
          <w:szCs w:val="24"/>
        </w:rPr>
        <w:fldChar w:fldCharType="end"/>
      </w:r>
      <w:r w:rsidR="00077FB7" w:rsidRPr="00077FB7">
        <w:rPr>
          <w:rFonts w:asciiTheme="minorHAnsi" w:hAnsiTheme="minorHAnsi"/>
          <w:sz w:val="24"/>
          <w:szCs w:val="24"/>
        </w:rPr>
        <w:t xml:space="preserve"> </w:t>
      </w:r>
    </w:p>
    <w:p w14:paraId="370E04F5" w14:textId="419D9187" w:rsidR="00077FB7" w:rsidRPr="00077FB7" w:rsidRDefault="00077FB7" w:rsidP="00077FB7">
      <w:pPr>
        <w:pStyle w:val="NormalWeb"/>
        <w:numPr>
          <w:ilvl w:val="0"/>
          <w:numId w:val="5"/>
        </w:numPr>
        <w:rPr>
          <w:rFonts w:asciiTheme="minorHAnsi" w:hAnsiTheme="minorHAnsi"/>
          <w:sz w:val="24"/>
          <w:szCs w:val="24"/>
        </w:rPr>
      </w:pPr>
      <w:r w:rsidRPr="00077FB7">
        <w:rPr>
          <w:rFonts w:asciiTheme="minorHAnsi" w:hAnsiTheme="minorHAnsi"/>
          <w:sz w:val="24"/>
          <w:szCs w:val="24"/>
        </w:rPr>
        <w:t>Access Code: 534-726-693</w:t>
      </w:r>
      <w:r w:rsidR="00BC0C00">
        <w:rPr>
          <w:rFonts w:asciiTheme="minorHAnsi" w:hAnsiTheme="minorHAnsi"/>
          <w:sz w:val="24"/>
          <w:szCs w:val="24"/>
        </w:rPr>
        <w:t xml:space="preserve">; </w:t>
      </w:r>
      <w:r w:rsidRPr="00077FB7">
        <w:rPr>
          <w:rFonts w:asciiTheme="minorHAnsi" w:hAnsiTheme="minorHAnsi"/>
          <w:sz w:val="24"/>
          <w:szCs w:val="24"/>
        </w:rPr>
        <w:t xml:space="preserve">Audio PIN: Shown after joining the </w:t>
      </w:r>
      <w:r w:rsidRPr="00077FB7">
        <w:rPr>
          <w:rStyle w:val="il"/>
          <w:rFonts w:asciiTheme="minorHAnsi" w:hAnsiTheme="minorHAnsi"/>
          <w:sz w:val="24"/>
          <w:szCs w:val="24"/>
        </w:rPr>
        <w:t>meeting</w:t>
      </w:r>
      <w:r w:rsidRPr="00077FB7">
        <w:rPr>
          <w:rFonts w:asciiTheme="minorHAnsi" w:hAnsiTheme="minorHAnsi"/>
          <w:sz w:val="24"/>
          <w:szCs w:val="24"/>
        </w:rPr>
        <w:t xml:space="preserve"> </w:t>
      </w:r>
    </w:p>
    <w:p w14:paraId="4DF45CBE" w14:textId="7FEDB6C6" w:rsidR="001A6C88" w:rsidRDefault="00077FB7" w:rsidP="00726C92">
      <w:r>
        <w:t xml:space="preserve">Thank you for reaching out to </w:t>
      </w:r>
      <w:r w:rsidR="001A6C88">
        <w:t>EdTech2.0</w:t>
      </w:r>
      <w:r w:rsidR="006B25CF">
        <w:t xml:space="preserve"> for stock recommendations for your investors.</w:t>
      </w:r>
      <w:r w:rsidR="001A6C88">
        <w:t xml:space="preserve"> </w:t>
      </w:r>
    </w:p>
    <w:p w14:paraId="27FF43DB" w14:textId="3296BBB7" w:rsidR="006B25CF" w:rsidRDefault="006B25CF" w:rsidP="00726C92">
      <w:r>
        <w:t>I look forward to meeting with you next Tuesday. If you have any questions prior to that time, please feel free to contact me at 201.694.0300, ext. 18.</w:t>
      </w:r>
    </w:p>
    <w:p w14:paraId="389F7F9D" w14:textId="77777777" w:rsidR="004975EC" w:rsidRDefault="004975EC" w:rsidP="00726C92">
      <w:pPr>
        <w:rPr>
          <w:b/>
        </w:rPr>
      </w:pPr>
    </w:p>
    <w:p w14:paraId="2975B039" w14:textId="77777777" w:rsidR="00A07195" w:rsidRDefault="00A07195" w:rsidP="00726C92">
      <w:pPr>
        <w:rPr>
          <w:b/>
        </w:rPr>
      </w:pPr>
    </w:p>
    <w:p w14:paraId="22F63168" w14:textId="77777777" w:rsidR="00A07195" w:rsidRDefault="00A07195" w:rsidP="00726C92">
      <w:pPr>
        <w:rPr>
          <w:b/>
        </w:rPr>
      </w:pPr>
    </w:p>
    <w:p w14:paraId="59D22D2F" w14:textId="77777777" w:rsidR="00A07195" w:rsidRDefault="00A07195" w:rsidP="00726C92">
      <w:pPr>
        <w:rPr>
          <w:b/>
        </w:rPr>
      </w:pPr>
    </w:p>
    <w:p w14:paraId="6F1C4C12" w14:textId="77777777" w:rsidR="00A07195" w:rsidRDefault="00A07195" w:rsidP="00726C92">
      <w:pPr>
        <w:rPr>
          <w:b/>
        </w:rPr>
      </w:pPr>
    </w:p>
    <w:p w14:paraId="2B9F533D" w14:textId="77777777" w:rsidR="00A07195" w:rsidRDefault="00A07195" w:rsidP="00726C92">
      <w:pPr>
        <w:rPr>
          <w:b/>
        </w:rPr>
      </w:pPr>
    </w:p>
    <w:p w14:paraId="1A491903" w14:textId="77777777" w:rsidR="00A07195" w:rsidRDefault="00A07195" w:rsidP="00726C92">
      <w:pPr>
        <w:rPr>
          <w:b/>
        </w:rPr>
      </w:pPr>
    </w:p>
    <w:p w14:paraId="0151575E" w14:textId="77777777" w:rsidR="00A07195" w:rsidRDefault="00A07195" w:rsidP="00726C92">
      <w:pPr>
        <w:rPr>
          <w:b/>
        </w:rPr>
      </w:pPr>
    </w:p>
    <w:p w14:paraId="28916B5F" w14:textId="77777777" w:rsidR="00A07195" w:rsidRDefault="00A07195" w:rsidP="00726C92">
      <w:pPr>
        <w:rPr>
          <w:b/>
        </w:rPr>
      </w:pPr>
    </w:p>
    <w:p w14:paraId="6DD0D428" w14:textId="77777777" w:rsidR="00A07195" w:rsidRDefault="00A07195" w:rsidP="00726C92">
      <w:pPr>
        <w:rPr>
          <w:b/>
        </w:rPr>
      </w:pPr>
    </w:p>
    <w:p w14:paraId="7F67F428" w14:textId="77777777" w:rsidR="00A07195" w:rsidRDefault="00A07195" w:rsidP="00726C92">
      <w:pPr>
        <w:rPr>
          <w:b/>
        </w:rPr>
      </w:pPr>
    </w:p>
    <w:p w14:paraId="520EA13C" w14:textId="77777777" w:rsidR="00A07195" w:rsidRDefault="00A07195" w:rsidP="00726C92">
      <w:pPr>
        <w:rPr>
          <w:b/>
        </w:rPr>
      </w:pPr>
    </w:p>
    <w:p w14:paraId="164C5AA2" w14:textId="77777777" w:rsidR="00A07195" w:rsidRDefault="00A07195" w:rsidP="00726C92">
      <w:pPr>
        <w:rPr>
          <w:b/>
        </w:rPr>
      </w:pPr>
    </w:p>
    <w:p w14:paraId="0A3DB88B" w14:textId="77777777" w:rsidR="00A07195" w:rsidRDefault="00A07195" w:rsidP="00726C92">
      <w:pPr>
        <w:rPr>
          <w:b/>
        </w:rPr>
      </w:pPr>
    </w:p>
    <w:p w14:paraId="7CDD6F1B" w14:textId="77777777" w:rsidR="00A07195" w:rsidRDefault="00A07195" w:rsidP="00726C92">
      <w:pPr>
        <w:rPr>
          <w:b/>
        </w:rPr>
      </w:pPr>
    </w:p>
    <w:p w14:paraId="55FC4B01" w14:textId="77777777" w:rsidR="00A07195" w:rsidRDefault="00A07195" w:rsidP="00726C92">
      <w:pPr>
        <w:rPr>
          <w:b/>
        </w:rPr>
      </w:pPr>
    </w:p>
    <w:p w14:paraId="4AD64A4B" w14:textId="77777777" w:rsidR="00A07195" w:rsidRDefault="00A07195" w:rsidP="00726C92">
      <w:pPr>
        <w:rPr>
          <w:b/>
        </w:rPr>
      </w:pPr>
    </w:p>
    <w:p w14:paraId="19ECEC6D" w14:textId="77777777" w:rsidR="00A07195" w:rsidRDefault="00A07195" w:rsidP="00726C92">
      <w:pPr>
        <w:rPr>
          <w:b/>
        </w:rPr>
      </w:pPr>
    </w:p>
    <w:p w14:paraId="3136C885" w14:textId="77777777" w:rsidR="00A07195" w:rsidRDefault="00A07195" w:rsidP="00726C92">
      <w:pPr>
        <w:rPr>
          <w:b/>
        </w:rPr>
      </w:pPr>
    </w:p>
    <w:p w14:paraId="1DB775A1" w14:textId="77777777" w:rsidR="00A07195" w:rsidRDefault="00A07195" w:rsidP="00726C92">
      <w:pPr>
        <w:rPr>
          <w:b/>
        </w:rPr>
      </w:pPr>
    </w:p>
    <w:p w14:paraId="222856C4" w14:textId="77777777" w:rsidR="00A07195" w:rsidRDefault="00A07195" w:rsidP="00726C92">
      <w:pPr>
        <w:rPr>
          <w:b/>
        </w:rPr>
      </w:pPr>
    </w:p>
    <w:p w14:paraId="0095564D" w14:textId="77777777" w:rsidR="00A07195" w:rsidRDefault="00A07195" w:rsidP="00726C92">
      <w:pPr>
        <w:rPr>
          <w:b/>
        </w:rPr>
      </w:pPr>
    </w:p>
    <w:p w14:paraId="7C1C8B2E" w14:textId="77777777" w:rsidR="00A07195" w:rsidRDefault="00A07195" w:rsidP="00726C92">
      <w:pPr>
        <w:rPr>
          <w:b/>
        </w:rPr>
      </w:pPr>
    </w:p>
    <w:p w14:paraId="6E14614A" w14:textId="77777777" w:rsidR="00A07195" w:rsidRDefault="00A07195" w:rsidP="00726C92">
      <w:pPr>
        <w:rPr>
          <w:b/>
        </w:rPr>
      </w:pPr>
    </w:p>
    <w:p w14:paraId="1EE549BF" w14:textId="77777777" w:rsidR="00A07195" w:rsidRDefault="00A07195" w:rsidP="00726C92">
      <w:pPr>
        <w:rPr>
          <w:b/>
        </w:rPr>
      </w:pPr>
    </w:p>
    <w:p w14:paraId="5D4AF396" w14:textId="77777777" w:rsidR="00A07195" w:rsidRDefault="00A07195" w:rsidP="00726C92">
      <w:pPr>
        <w:rPr>
          <w:b/>
        </w:rPr>
      </w:pPr>
    </w:p>
    <w:p w14:paraId="1F6F9B1C" w14:textId="77777777" w:rsidR="00A07195" w:rsidRDefault="00A07195" w:rsidP="00726C92">
      <w:pPr>
        <w:rPr>
          <w:b/>
        </w:rPr>
      </w:pPr>
    </w:p>
    <w:p w14:paraId="179E3DF1" w14:textId="77777777" w:rsidR="00A07195" w:rsidRDefault="00A07195" w:rsidP="00726C92">
      <w:pPr>
        <w:rPr>
          <w:b/>
        </w:rPr>
      </w:pPr>
    </w:p>
    <w:p w14:paraId="2CBB05F1" w14:textId="77777777" w:rsidR="00A07195" w:rsidRDefault="00A07195" w:rsidP="00726C92">
      <w:pPr>
        <w:rPr>
          <w:b/>
        </w:rPr>
      </w:pPr>
    </w:p>
    <w:p w14:paraId="1DDFBBA8" w14:textId="77777777" w:rsidR="00A07195" w:rsidRDefault="00A07195" w:rsidP="00726C92">
      <w:pPr>
        <w:rPr>
          <w:b/>
        </w:rPr>
      </w:pPr>
    </w:p>
    <w:p w14:paraId="2B2ECBFD" w14:textId="77777777" w:rsidR="00A07195" w:rsidRDefault="00A07195" w:rsidP="00726C92">
      <w:pPr>
        <w:rPr>
          <w:b/>
        </w:rPr>
      </w:pPr>
    </w:p>
    <w:p w14:paraId="3D5465FA" w14:textId="77777777" w:rsidR="00A07195" w:rsidRDefault="00A07195" w:rsidP="00726C92">
      <w:pPr>
        <w:rPr>
          <w:b/>
        </w:rPr>
      </w:pPr>
    </w:p>
    <w:p w14:paraId="69D90315" w14:textId="77777777" w:rsidR="00A07195" w:rsidRDefault="00A07195" w:rsidP="00726C92">
      <w:pPr>
        <w:rPr>
          <w:b/>
        </w:rPr>
      </w:pPr>
    </w:p>
    <w:p w14:paraId="45581F9C" w14:textId="77777777" w:rsidR="00A07195" w:rsidRDefault="00A07195" w:rsidP="00726C92">
      <w:pPr>
        <w:rPr>
          <w:b/>
        </w:rPr>
      </w:pPr>
    </w:p>
    <w:p w14:paraId="60C17B7C" w14:textId="77777777" w:rsidR="00A07195" w:rsidRDefault="00A07195" w:rsidP="00726C92">
      <w:pPr>
        <w:rPr>
          <w:b/>
        </w:rPr>
      </w:pPr>
    </w:p>
    <w:p w14:paraId="79AB3FC0" w14:textId="77777777" w:rsidR="00A07195" w:rsidRDefault="00A07195" w:rsidP="00726C92">
      <w:pPr>
        <w:rPr>
          <w:b/>
        </w:rPr>
      </w:pPr>
    </w:p>
    <w:p w14:paraId="39B9A4AF" w14:textId="77777777" w:rsidR="00A07195" w:rsidRDefault="00A07195" w:rsidP="00726C92">
      <w:pPr>
        <w:rPr>
          <w:b/>
        </w:rPr>
      </w:pPr>
    </w:p>
    <w:p w14:paraId="7672EEF8" w14:textId="77777777" w:rsidR="00A07195" w:rsidRDefault="00A07195" w:rsidP="00726C92">
      <w:pPr>
        <w:rPr>
          <w:b/>
        </w:rPr>
      </w:pPr>
    </w:p>
    <w:p w14:paraId="13F90173" w14:textId="0A8EF5BB" w:rsidR="00DD2781" w:rsidRPr="00BC0C00" w:rsidRDefault="00BC0C00" w:rsidP="00A07195">
      <w:pPr>
        <w:jc w:val="center"/>
        <w:rPr>
          <w:b/>
        </w:rPr>
      </w:pPr>
      <w:r w:rsidRPr="00BC0C00">
        <w:rPr>
          <w:b/>
        </w:rPr>
        <w:lastRenderedPageBreak/>
        <w:t>References</w:t>
      </w:r>
    </w:p>
    <w:p w14:paraId="51A039D0" w14:textId="77777777" w:rsidR="00BC0C00" w:rsidRDefault="00BC0C00" w:rsidP="00726C92"/>
    <w:p w14:paraId="6083E640" w14:textId="77777777" w:rsidR="00BB2FAF" w:rsidRDefault="00BB2FAF" w:rsidP="00A07195">
      <w:pPr>
        <w:spacing w:line="480" w:lineRule="auto"/>
      </w:pPr>
      <w:r>
        <w:t>Activision Blizzard</w:t>
      </w:r>
      <w:r>
        <w:rPr>
          <w:vertAlign w:val="superscript"/>
        </w:rPr>
        <w:t>TM</w:t>
      </w:r>
      <w:r>
        <w:t xml:space="preserve"> . (2014). Annual reports. Retrieved from </w:t>
      </w:r>
    </w:p>
    <w:p w14:paraId="539465D1" w14:textId="7D346B56" w:rsidR="00BB2FAF" w:rsidRDefault="00BB2FAF" w:rsidP="00A07195">
      <w:pPr>
        <w:spacing w:line="480" w:lineRule="auto"/>
      </w:pPr>
      <w:r>
        <w:tab/>
      </w:r>
      <w:r w:rsidRPr="00BB2FAF">
        <w:t>http://investor.activision.com/annuals.cfm</w:t>
      </w:r>
    </w:p>
    <w:p w14:paraId="7733AC77" w14:textId="64A7306E" w:rsidR="00BB2FAF" w:rsidRDefault="004975EC" w:rsidP="00A07195">
      <w:pPr>
        <w:spacing w:line="480" w:lineRule="auto"/>
      </w:pPr>
      <w:r>
        <w:t>Bloomberg. (2014). Stock f</w:t>
      </w:r>
      <w:r w:rsidR="00D63925">
        <w:t>utures.</w:t>
      </w:r>
      <w:r w:rsidR="00BB2FAF">
        <w:t xml:space="preserve"> </w:t>
      </w:r>
      <w:r w:rsidR="00BB2FAF" w:rsidRPr="00BB2FAF">
        <w:rPr>
          <w:i/>
        </w:rPr>
        <w:t>Bloomberg</w:t>
      </w:r>
      <w:r w:rsidR="00BB2FAF">
        <w:t xml:space="preserve">. </w:t>
      </w:r>
      <w:r>
        <w:t xml:space="preserve">Bloomberg, LP. Retrieved from </w:t>
      </w:r>
    </w:p>
    <w:p w14:paraId="6D5F3DF3" w14:textId="5F06B422" w:rsidR="004975EC" w:rsidRDefault="00BB2FAF" w:rsidP="00A07195">
      <w:pPr>
        <w:tabs>
          <w:tab w:val="left" w:pos="720"/>
        </w:tabs>
        <w:spacing w:line="480" w:lineRule="auto"/>
      </w:pPr>
      <w:r>
        <w:t xml:space="preserve">   </w:t>
      </w:r>
      <w:r>
        <w:tab/>
      </w:r>
      <w:r w:rsidR="004975EC" w:rsidRPr="004975EC">
        <w:t>http://www.bloomberg.com/markets/stocks/futures/</w:t>
      </w:r>
    </w:p>
    <w:p w14:paraId="14011FAA" w14:textId="6FAE3E0A" w:rsidR="00BB2FAF" w:rsidRDefault="00BB2FAF" w:rsidP="00A07195">
      <w:pPr>
        <w:spacing w:line="480" w:lineRule="auto"/>
      </w:pPr>
      <w:r>
        <w:t xml:space="preserve">Electronic Arts, Inc. (2014). </w:t>
      </w:r>
      <w:r w:rsidR="00A07195">
        <w:t xml:space="preserve">Proxy statement and highlights. </w:t>
      </w:r>
      <w:r w:rsidR="00A07195" w:rsidRPr="00A07195">
        <w:rPr>
          <w:i/>
        </w:rPr>
        <w:t xml:space="preserve">Proxy statement and annual </w:t>
      </w:r>
      <w:r w:rsidR="00A07195">
        <w:rPr>
          <w:i/>
        </w:rPr>
        <w:tab/>
      </w:r>
      <w:r w:rsidR="00A07195" w:rsidRPr="00A07195">
        <w:rPr>
          <w:i/>
        </w:rPr>
        <w:t>report</w:t>
      </w:r>
      <w:r w:rsidRPr="00A07195">
        <w:rPr>
          <w:i/>
        </w:rPr>
        <w:t xml:space="preserve">. </w:t>
      </w:r>
      <w:r>
        <w:t>Retrieved from</w:t>
      </w:r>
      <w:r w:rsidR="00A07195">
        <w:t xml:space="preserve"> </w:t>
      </w:r>
      <w:hyperlink r:id="rId11" w:history="1">
        <w:r w:rsidRPr="00F817B2">
          <w:t>http://investor.ea.com/annuals.cfm</w:t>
        </w:r>
      </w:hyperlink>
    </w:p>
    <w:p w14:paraId="1BA74ECE" w14:textId="77777777" w:rsidR="00F817B2" w:rsidRDefault="00F817B2" w:rsidP="00A07195">
      <w:pPr>
        <w:spacing w:line="480" w:lineRule="auto"/>
      </w:pPr>
      <w:r w:rsidRPr="00F817B2">
        <w:t xml:space="preserve"> The Entertainment</w:t>
      </w:r>
      <w:r>
        <w:t xml:space="preserve"> </w:t>
      </w:r>
      <w:r w:rsidRPr="00F817B2">
        <w:t>software associatio</w:t>
      </w:r>
      <w:r>
        <w:t xml:space="preserve">n. </w:t>
      </w:r>
      <w:r w:rsidR="00BC0C00">
        <w:t>(2014)</w:t>
      </w:r>
      <w:r w:rsidR="004975EC">
        <w:t>.</w:t>
      </w:r>
      <w:r w:rsidR="00BB2FAF">
        <w:t xml:space="preserve"> </w:t>
      </w:r>
      <w:r w:rsidR="00BC0C00">
        <w:t xml:space="preserve">Essential facts about the computer and </w:t>
      </w:r>
    </w:p>
    <w:p w14:paraId="6CC5C0E0" w14:textId="77777777" w:rsidR="00A07195" w:rsidRPr="00A07195" w:rsidRDefault="00F817B2" w:rsidP="00A07195">
      <w:pPr>
        <w:spacing w:line="480" w:lineRule="auto"/>
        <w:rPr>
          <w:rFonts w:ascii="Times New Roman" w:hAnsi="Times New Roman" w:cs="Times New Roman"/>
        </w:rPr>
      </w:pPr>
      <w:r>
        <w:tab/>
      </w:r>
      <w:r w:rsidR="00BC0C00">
        <w:t>video game industry</w:t>
      </w:r>
      <w:r>
        <w:t>.  R</w:t>
      </w:r>
      <w:r w:rsidR="00BC0C00">
        <w:t xml:space="preserve">etrieved </w:t>
      </w:r>
      <w:r w:rsidR="00BC0C00" w:rsidRPr="00A07195">
        <w:rPr>
          <w:rFonts w:ascii="Times New Roman" w:hAnsi="Times New Roman" w:cs="Times New Roman"/>
        </w:rPr>
        <w:t xml:space="preserve">from </w:t>
      </w:r>
      <w:r w:rsidR="00A07195" w:rsidRPr="00A07195">
        <w:rPr>
          <w:rFonts w:ascii="Times New Roman" w:hAnsi="Times New Roman" w:cs="Times New Roman"/>
        </w:rPr>
        <w:fldChar w:fldCharType="begin"/>
      </w:r>
      <w:r w:rsidR="00A07195" w:rsidRPr="00A07195">
        <w:rPr>
          <w:rFonts w:ascii="Times New Roman" w:hAnsi="Times New Roman" w:cs="Times New Roman"/>
        </w:rPr>
        <w:instrText xml:space="preserve"> HYPERLINK "http://www.theesa.com/facts/pdfs/esa_ef  </w:instrText>
      </w:r>
    </w:p>
    <w:p w14:paraId="79853241" w14:textId="77777777" w:rsidR="00A07195" w:rsidRPr="00A07195" w:rsidRDefault="00A07195" w:rsidP="00A07195">
      <w:pPr>
        <w:spacing w:line="480" w:lineRule="auto"/>
        <w:rPr>
          <w:rFonts w:ascii="Times New Roman" w:hAnsi="Times New Roman" w:cs="Times New Roman"/>
        </w:rPr>
      </w:pPr>
      <w:r w:rsidRPr="00A07195">
        <w:rPr>
          <w:rFonts w:ascii="Times New Roman" w:hAnsi="Times New Roman" w:cs="Times New Roman"/>
        </w:rPr>
        <w:instrText xml:space="preserve">  </w:instrText>
      </w:r>
      <w:r w:rsidRPr="00A07195">
        <w:rPr>
          <w:rFonts w:ascii="Times New Roman" w:hAnsi="Times New Roman" w:cs="Times New Roman"/>
        </w:rPr>
        <w:tab/>
        <w:instrText xml:space="preserve">_2014.pdf" </w:instrText>
      </w:r>
      <w:r w:rsidRPr="00A07195">
        <w:rPr>
          <w:rFonts w:ascii="Times New Roman" w:hAnsi="Times New Roman" w:cs="Times New Roman"/>
        </w:rPr>
        <w:fldChar w:fldCharType="separate"/>
      </w:r>
      <w:r w:rsidRPr="00A07195">
        <w:rPr>
          <w:rFonts w:ascii="Times New Roman" w:hAnsi="Times New Roman" w:cs="Times New Roman"/>
        </w:rPr>
        <w:t xml:space="preserve">http://www.theesa.com/facts/pdfs/esa_ef  </w:t>
      </w:r>
    </w:p>
    <w:p w14:paraId="08ADBAFA" w14:textId="05E5E293" w:rsidR="00DD2781" w:rsidRDefault="00A07195" w:rsidP="00A07195">
      <w:pPr>
        <w:spacing w:line="480" w:lineRule="auto"/>
      </w:pPr>
      <w:r w:rsidRPr="00A07195">
        <w:rPr>
          <w:rFonts w:ascii="Times New Roman" w:hAnsi="Times New Roman" w:cs="Times New Roman"/>
        </w:rPr>
        <w:t xml:space="preserve">  </w:t>
      </w:r>
      <w:r w:rsidRPr="00A07195">
        <w:rPr>
          <w:rFonts w:ascii="Times New Roman" w:hAnsi="Times New Roman" w:cs="Times New Roman"/>
        </w:rPr>
        <w:tab/>
        <w:t>_2014.pdf</w:t>
      </w:r>
      <w:r w:rsidRPr="00A07195">
        <w:rPr>
          <w:rFonts w:ascii="Times New Roman" w:hAnsi="Times New Roman" w:cs="Times New Roman"/>
        </w:rPr>
        <w:fldChar w:fldCharType="end"/>
      </w:r>
    </w:p>
    <w:p w14:paraId="4E5CEA3E" w14:textId="77777777" w:rsidR="00D63925" w:rsidRDefault="00D63925" w:rsidP="00A07195">
      <w:pPr>
        <w:spacing w:line="480" w:lineRule="auto"/>
      </w:pPr>
      <w:r>
        <w:t xml:space="preserve">Take Two Interactive. (2014). Annual reports. </w:t>
      </w:r>
      <w:r w:rsidRPr="00D63925">
        <w:rPr>
          <w:i/>
        </w:rPr>
        <w:t>Corporate Overview.</w:t>
      </w:r>
      <w:r>
        <w:rPr>
          <w:i/>
        </w:rPr>
        <w:t xml:space="preserve"> </w:t>
      </w:r>
      <w:r>
        <w:t xml:space="preserve">Retrieved from </w:t>
      </w:r>
    </w:p>
    <w:p w14:paraId="7608281B" w14:textId="24CB8D32" w:rsidR="00D63925" w:rsidRDefault="00D63925" w:rsidP="00A07195">
      <w:pPr>
        <w:spacing w:line="480" w:lineRule="auto"/>
      </w:pPr>
      <w:r>
        <w:tab/>
      </w:r>
      <w:hyperlink r:id="rId12" w:history="1">
        <w:r w:rsidR="00A07195" w:rsidRPr="001A2C31">
          <w:rPr>
            <w:rStyle w:val="Hyperlink"/>
          </w:rPr>
          <w:t>http://ir.take2games.com/phoenix.zhtml?c=86428&amp;p=irol-irhome</w:t>
        </w:r>
      </w:hyperlink>
    </w:p>
    <w:p w14:paraId="2FF47AFA" w14:textId="511E8B0E" w:rsidR="00A07195" w:rsidRDefault="00A07195" w:rsidP="00A07195">
      <w:pPr>
        <w:spacing w:line="480" w:lineRule="auto"/>
      </w:pPr>
      <w:r>
        <w:t xml:space="preserve">U.S. Market Open. (2014). Stock market activity. </w:t>
      </w:r>
      <w:r w:rsidRPr="00A07195">
        <w:rPr>
          <w:i/>
        </w:rPr>
        <w:t>NASDAQ</w:t>
      </w:r>
      <w:r>
        <w:t xml:space="preserve">. Retrieved from </w:t>
      </w:r>
      <w:r>
        <w:tab/>
      </w:r>
      <w:bookmarkStart w:id="0" w:name="_GoBack"/>
      <w:bookmarkEnd w:id="0"/>
      <w:r>
        <w:t>http://www.nasdaq.com/</w:t>
      </w:r>
    </w:p>
    <w:p w14:paraId="37820C35" w14:textId="77777777" w:rsidR="00A07195" w:rsidRPr="00D63925" w:rsidRDefault="00A07195" w:rsidP="00A07195">
      <w:pPr>
        <w:spacing w:line="480" w:lineRule="auto"/>
      </w:pPr>
    </w:p>
    <w:p w14:paraId="4103E91B" w14:textId="77777777" w:rsidR="00DD2781" w:rsidRDefault="00DD2781" w:rsidP="00A07195">
      <w:pPr>
        <w:spacing w:line="480" w:lineRule="auto"/>
      </w:pPr>
    </w:p>
    <w:p w14:paraId="2988F9E5" w14:textId="77777777" w:rsidR="00726C92" w:rsidRDefault="00726C92" w:rsidP="00A07195">
      <w:pPr>
        <w:spacing w:line="480" w:lineRule="auto"/>
      </w:pPr>
    </w:p>
    <w:p w14:paraId="01C915BD" w14:textId="77777777" w:rsidR="00AB364B" w:rsidRDefault="00AB364B" w:rsidP="00553621"/>
    <w:p w14:paraId="1A53929C" w14:textId="77777777" w:rsidR="00AB364B" w:rsidRDefault="00AB364B" w:rsidP="00553621"/>
    <w:p w14:paraId="38348569" w14:textId="77777777" w:rsidR="00AB364B" w:rsidRDefault="00AB364B" w:rsidP="00553621"/>
    <w:p w14:paraId="71FBF840" w14:textId="6AEAAF19" w:rsidR="00AB364B" w:rsidRDefault="00AB364B" w:rsidP="00553621"/>
    <w:sectPr w:rsidR="00AB364B" w:rsidSect="00B154B6">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22357" w14:textId="77777777" w:rsidR="00696B41" w:rsidRDefault="00696B41" w:rsidP="00B154B6">
      <w:r>
        <w:separator/>
      </w:r>
    </w:p>
  </w:endnote>
  <w:endnote w:type="continuationSeparator" w:id="0">
    <w:p w14:paraId="775D07C1" w14:textId="77777777" w:rsidR="00696B41" w:rsidRDefault="00696B41" w:rsidP="00B1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FB152" w14:textId="77777777" w:rsidR="00F817B2" w:rsidRDefault="00F817B2" w:rsidP="00B154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9BCEF7" w14:textId="77777777" w:rsidR="00F817B2" w:rsidRDefault="00F817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A675E" w14:textId="77777777" w:rsidR="00F817B2" w:rsidRDefault="00F817B2" w:rsidP="00B154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7195">
      <w:rPr>
        <w:rStyle w:val="PageNumber"/>
        <w:noProof/>
      </w:rPr>
      <w:t>4</w:t>
    </w:r>
    <w:r>
      <w:rPr>
        <w:rStyle w:val="PageNumber"/>
      </w:rPr>
      <w:fldChar w:fldCharType="end"/>
    </w:r>
  </w:p>
  <w:p w14:paraId="7A38EBC9" w14:textId="77777777" w:rsidR="00F817B2" w:rsidRDefault="00F817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B2879" w14:textId="77777777" w:rsidR="00696B41" w:rsidRDefault="00696B41" w:rsidP="00B154B6">
      <w:r>
        <w:separator/>
      </w:r>
    </w:p>
  </w:footnote>
  <w:footnote w:type="continuationSeparator" w:id="0">
    <w:p w14:paraId="65DA84B9" w14:textId="77777777" w:rsidR="00696B41" w:rsidRDefault="00696B41" w:rsidP="00B154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2E37"/>
    <w:multiLevelType w:val="hybridMultilevel"/>
    <w:tmpl w:val="57A49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42568"/>
    <w:multiLevelType w:val="hybridMultilevel"/>
    <w:tmpl w:val="88AC9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B0A61"/>
    <w:multiLevelType w:val="hybridMultilevel"/>
    <w:tmpl w:val="C3BEF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2A3CD1"/>
    <w:multiLevelType w:val="hybridMultilevel"/>
    <w:tmpl w:val="3FB44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9103D24"/>
    <w:multiLevelType w:val="hybridMultilevel"/>
    <w:tmpl w:val="8A5A1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23"/>
    <w:rsid w:val="000647B5"/>
    <w:rsid w:val="00077619"/>
    <w:rsid w:val="00077FB7"/>
    <w:rsid w:val="000D7049"/>
    <w:rsid w:val="00131BAB"/>
    <w:rsid w:val="00147262"/>
    <w:rsid w:val="00180164"/>
    <w:rsid w:val="001A186B"/>
    <w:rsid w:val="001A6C88"/>
    <w:rsid w:val="001A740C"/>
    <w:rsid w:val="001C40F7"/>
    <w:rsid w:val="001E1DE9"/>
    <w:rsid w:val="001E6283"/>
    <w:rsid w:val="001E7268"/>
    <w:rsid w:val="0022659B"/>
    <w:rsid w:val="002302D8"/>
    <w:rsid w:val="0028358A"/>
    <w:rsid w:val="002B4058"/>
    <w:rsid w:val="003F74E7"/>
    <w:rsid w:val="00417BE6"/>
    <w:rsid w:val="00476FF3"/>
    <w:rsid w:val="004975EC"/>
    <w:rsid w:val="004F30D9"/>
    <w:rsid w:val="004F43CA"/>
    <w:rsid w:val="00532A90"/>
    <w:rsid w:val="0059192A"/>
    <w:rsid w:val="005A145E"/>
    <w:rsid w:val="005B3170"/>
    <w:rsid w:val="005D28BD"/>
    <w:rsid w:val="00615BC5"/>
    <w:rsid w:val="00656395"/>
    <w:rsid w:val="0066135F"/>
    <w:rsid w:val="0068093C"/>
    <w:rsid w:val="00693DA3"/>
    <w:rsid w:val="00696B41"/>
    <w:rsid w:val="006B25CF"/>
    <w:rsid w:val="006C04E2"/>
    <w:rsid w:val="006C6070"/>
    <w:rsid w:val="00712153"/>
    <w:rsid w:val="00726C92"/>
    <w:rsid w:val="007412EF"/>
    <w:rsid w:val="00783242"/>
    <w:rsid w:val="007A22E7"/>
    <w:rsid w:val="007C16D0"/>
    <w:rsid w:val="007D27BF"/>
    <w:rsid w:val="00811FCD"/>
    <w:rsid w:val="00825EB2"/>
    <w:rsid w:val="00832137"/>
    <w:rsid w:val="00845F35"/>
    <w:rsid w:val="008506D8"/>
    <w:rsid w:val="00860402"/>
    <w:rsid w:val="008A33E2"/>
    <w:rsid w:val="008B41EA"/>
    <w:rsid w:val="009404B1"/>
    <w:rsid w:val="009413C1"/>
    <w:rsid w:val="009422CC"/>
    <w:rsid w:val="00A07195"/>
    <w:rsid w:val="00A15601"/>
    <w:rsid w:val="00A64B5F"/>
    <w:rsid w:val="00AB1AE0"/>
    <w:rsid w:val="00AB364B"/>
    <w:rsid w:val="00AB529E"/>
    <w:rsid w:val="00AC5BC9"/>
    <w:rsid w:val="00B01DC0"/>
    <w:rsid w:val="00B154B6"/>
    <w:rsid w:val="00B551C7"/>
    <w:rsid w:val="00B85FBE"/>
    <w:rsid w:val="00B97C23"/>
    <w:rsid w:val="00BA5AD9"/>
    <w:rsid w:val="00BB2FAF"/>
    <w:rsid w:val="00BC0C00"/>
    <w:rsid w:val="00C47A9D"/>
    <w:rsid w:val="00C61483"/>
    <w:rsid w:val="00CE1E20"/>
    <w:rsid w:val="00CE76EB"/>
    <w:rsid w:val="00D00C67"/>
    <w:rsid w:val="00D63925"/>
    <w:rsid w:val="00DD1127"/>
    <w:rsid w:val="00DD2781"/>
    <w:rsid w:val="00DF3823"/>
    <w:rsid w:val="00E67FFD"/>
    <w:rsid w:val="00E920BF"/>
    <w:rsid w:val="00EC1C9A"/>
    <w:rsid w:val="00EE6BC2"/>
    <w:rsid w:val="00F37CF9"/>
    <w:rsid w:val="00F70326"/>
    <w:rsid w:val="00F817B2"/>
    <w:rsid w:val="00FD0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CCC9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8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823"/>
    <w:rPr>
      <w:rFonts w:ascii="Lucida Grande" w:hAnsi="Lucida Grande" w:cs="Lucida Grande"/>
      <w:sz w:val="18"/>
      <w:szCs w:val="18"/>
    </w:rPr>
  </w:style>
  <w:style w:type="paragraph" w:styleId="ListParagraph">
    <w:name w:val="List Paragraph"/>
    <w:basedOn w:val="Normal"/>
    <w:uiPriority w:val="34"/>
    <w:qFormat/>
    <w:rsid w:val="0068093C"/>
    <w:pPr>
      <w:ind w:left="720"/>
      <w:contextualSpacing/>
    </w:pPr>
  </w:style>
  <w:style w:type="character" w:styleId="Hyperlink">
    <w:name w:val="Hyperlink"/>
    <w:basedOn w:val="DefaultParagraphFont"/>
    <w:uiPriority w:val="99"/>
    <w:unhideWhenUsed/>
    <w:rsid w:val="00DD2781"/>
    <w:rPr>
      <w:color w:val="0000FF" w:themeColor="hyperlink"/>
      <w:u w:val="single"/>
    </w:rPr>
  </w:style>
  <w:style w:type="character" w:customStyle="1" w:styleId="ccbntxt">
    <w:name w:val="ccbntxt"/>
    <w:basedOn w:val="DefaultParagraphFont"/>
    <w:rsid w:val="005A145E"/>
  </w:style>
  <w:style w:type="paragraph" w:styleId="NormalWeb">
    <w:name w:val="Normal (Web)"/>
    <w:basedOn w:val="Normal"/>
    <w:uiPriority w:val="99"/>
    <w:semiHidden/>
    <w:unhideWhenUsed/>
    <w:rsid w:val="00077FB7"/>
    <w:pPr>
      <w:spacing w:before="100" w:beforeAutospacing="1" w:after="100" w:afterAutospacing="1"/>
    </w:pPr>
    <w:rPr>
      <w:rFonts w:ascii="Times" w:hAnsi="Times" w:cs="Times New Roman"/>
      <w:sz w:val="20"/>
      <w:szCs w:val="20"/>
    </w:rPr>
  </w:style>
  <w:style w:type="character" w:customStyle="1" w:styleId="il">
    <w:name w:val="il"/>
    <w:basedOn w:val="DefaultParagraphFont"/>
    <w:rsid w:val="00077FB7"/>
  </w:style>
  <w:style w:type="paragraph" w:styleId="Footer">
    <w:name w:val="footer"/>
    <w:basedOn w:val="Normal"/>
    <w:link w:val="FooterChar"/>
    <w:uiPriority w:val="99"/>
    <w:unhideWhenUsed/>
    <w:rsid w:val="00B154B6"/>
    <w:pPr>
      <w:tabs>
        <w:tab w:val="center" w:pos="4320"/>
        <w:tab w:val="right" w:pos="8640"/>
      </w:tabs>
    </w:pPr>
  </w:style>
  <w:style w:type="character" w:customStyle="1" w:styleId="FooterChar">
    <w:name w:val="Footer Char"/>
    <w:basedOn w:val="DefaultParagraphFont"/>
    <w:link w:val="Footer"/>
    <w:uiPriority w:val="99"/>
    <w:rsid w:val="00B154B6"/>
  </w:style>
  <w:style w:type="character" w:styleId="PageNumber">
    <w:name w:val="page number"/>
    <w:basedOn w:val="DefaultParagraphFont"/>
    <w:uiPriority w:val="99"/>
    <w:semiHidden/>
    <w:unhideWhenUsed/>
    <w:rsid w:val="00B154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8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823"/>
    <w:rPr>
      <w:rFonts w:ascii="Lucida Grande" w:hAnsi="Lucida Grande" w:cs="Lucida Grande"/>
      <w:sz w:val="18"/>
      <w:szCs w:val="18"/>
    </w:rPr>
  </w:style>
  <w:style w:type="paragraph" w:styleId="ListParagraph">
    <w:name w:val="List Paragraph"/>
    <w:basedOn w:val="Normal"/>
    <w:uiPriority w:val="34"/>
    <w:qFormat/>
    <w:rsid w:val="0068093C"/>
    <w:pPr>
      <w:ind w:left="720"/>
      <w:contextualSpacing/>
    </w:pPr>
  </w:style>
  <w:style w:type="character" w:styleId="Hyperlink">
    <w:name w:val="Hyperlink"/>
    <w:basedOn w:val="DefaultParagraphFont"/>
    <w:uiPriority w:val="99"/>
    <w:unhideWhenUsed/>
    <w:rsid w:val="00DD2781"/>
    <w:rPr>
      <w:color w:val="0000FF" w:themeColor="hyperlink"/>
      <w:u w:val="single"/>
    </w:rPr>
  </w:style>
  <w:style w:type="character" w:customStyle="1" w:styleId="ccbntxt">
    <w:name w:val="ccbntxt"/>
    <w:basedOn w:val="DefaultParagraphFont"/>
    <w:rsid w:val="005A145E"/>
  </w:style>
  <w:style w:type="paragraph" w:styleId="NormalWeb">
    <w:name w:val="Normal (Web)"/>
    <w:basedOn w:val="Normal"/>
    <w:uiPriority w:val="99"/>
    <w:semiHidden/>
    <w:unhideWhenUsed/>
    <w:rsid w:val="00077FB7"/>
    <w:pPr>
      <w:spacing w:before="100" w:beforeAutospacing="1" w:after="100" w:afterAutospacing="1"/>
    </w:pPr>
    <w:rPr>
      <w:rFonts w:ascii="Times" w:hAnsi="Times" w:cs="Times New Roman"/>
      <w:sz w:val="20"/>
      <w:szCs w:val="20"/>
    </w:rPr>
  </w:style>
  <w:style w:type="character" w:customStyle="1" w:styleId="il">
    <w:name w:val="il"/>
    <w:basedOn w:val="DefaultParagraphFont"/>
    <w:rsid w:val="00077FB7"/>
  </w:style>
  <w:style w:type="paragraph" w:styleId="Footer">
    <w:name w:val="footer"/>
    <w:basedOn w:val="Normal"/>
    <w:link w:val="FooterChar"/>
    <w:uiPriority w:val="99"/>
    <w:unhideWhenUsed/>
    <w:rsid w:val="00B154B6"/>
    <w:pPr>
      <w:tabs>
        <w:tab w:val="center" w:pos="4320"/>
        <w:tab w:val="right" w:pos="8640"/>
      </w:tabs>
    </w:pPr>
  </w:style>
  <w:style w:type="character" w:customStyle="1" w:styleId="FooterChar">
    <w:name w:val="Footer Char"/>
    <w:basedOn w:val="DefaultParagraphFont"/>
    <w:link w:val="Footer"/>
    <w:uiPriority w:val="99"/>
    <w:rsid w:val="00B154B6"/>
  </w:style>
  <w:style w:type="character" w:styleId="PageNumber">
    <w:name w:val="page number"/>
    <w:basedOn w:val="DefaultParagraphFont"/>
    <w:uiPriority w:val="99"/>
    <w:semiHidden/>
    <w:unhideWhenUsed/>
    <w:rsid w:val="00B15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90">
      <w:bodyDiv w:val="1"/>
      <w:marLeft w:val="0"/>
      <w:marRight w:val="0"/>
      <w:marTop w:val="0"/>
      <w:marBottom w:val="0"/>
      <w:divBdr>
        <w:top w:val="none" w:sz="0" w:space="0" w:color="auto"/>
        <w:left w:val="none" w:sz="0" w:space="0" w:color="auto"/>
        <w:bottom w:val="none" w:sz="0" w:space="0" w:color="auto"/>
        <w:right w:val="none" w:sz="0" w:space="0" w:color="auto"/>
      </w:divBdr>
      <w:divsChild>
        <w:div w:id="100030827">
          <w:marLeft w:val="0"/>
          <w:marRight w:val="0"/>
          <w:marTop w:val="0"/>
          <w:marBottom w:val="0"/>
          <w:divBdr>
            <w:top w:val="none" w:sz="0" w:space="0" w:color="auto"/>
            <w:left w:val="none" w:sz="0" w:space="0" w:color="auto"/>
            <w:bottom w:val="none" w:sz="0" w:space="0" w:color="auto"/>
            <w:right w:val="none" w:sz="0" w:space="0" w:color="auto"/>
          </w:divBdr>
          <w:divsChild>
            <w:div w:id="1467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62628">
      <w:bodyDiv w:val="1"/>
      <w:marLeft w:val="0"/>
      <w:marRight w:val="0"/>
      <w:marTop w:val="0"/>
      <w:marBottom w:val="0"/>
      <w:divBdr>
        <w:top w:val="none" w:sz="0" w:space="0" w:color="auto"/>
        <w:left w:val="none" w:sz="0" w:space="0" w:color="auto"/>
        <w:bottom w:val="none" w:sz="0" w:space="0" w:color="auto"/>
        <w:right w:val="none" w:sz="0" w:space="0" w:color="auto"/>
      </w:divBdr>
      <w:divsChild>
        <w:div w:id="212280886">
          <w:marLeft w:val="0"/>
          <w:marRight w:val="0"/>
          <w:marTop w:val="0"/>
          <w:marBottom w:val="0"/>
          <w:divBdr>
            <w:top w:val="none" w:sz="0" w:space="0" w:color="auto"/>
            <w:left w:val="none" w:sz="0" w:space="0" w:color="auto"/>
            <w:bottom w:val="none" w:sz="0" w:space="0" w:color="auto"/>
            <w:right w:val="none" w:sz="0" w:space="0" w:color="auto"/>
          </w:divBdr>
        </w:div>
        <w:div w:id="1731809932">
          <w:marLeft w:val="0"/>
          <w:marRight w:val="0"/>
          <w:marTop w:val="0"/>
          <w:marBottom w:val="0"/>
          <w:divBdr>
            <w:top w:val="none" w:sz="0" w:space="0" w:color="auto"/>
            <w:left w:val="none" w:sz="0" w:space="0" w:color="auto"/>
            <w:bottom w:val="none" w:sz="0" w:space="0" w:color="auto"/>
            <w:right w:val="none" w:sz="0" w:space="0" w:color="auto"/>
          </w:divBdr>
        </w:div>
        <w:div w:id="1954247850">
          <w:marLeft w:val="0"/>
          <w:marRight w:val="0"/>
          <w:marTop w:val="0"/>
          <w:marBottom w:val="0"/>
          <w:divBdr>
            <w:top w:val="none" w:sz="0" w:space="0" w:color="auto"/>
            <w:left w:val="none" w:sz="0" w:space="0" w:color="auto"/>
            <w:bottom w:val="none" w:sz="0" w:space="0" w:color="auto"/>
            <w:right w:val="none" w:sz="0" w:space="0" w:color="auto"/>
          </w:divBdr>
        </w:div>
      </w:divsChild>
    </w:div>
    <w:div w:id="1655528090">
      <w:bodyDiv w:val="1"/>
      <w:marLeft w:val="0"/>
      <w:marRight w:val="0"/>
      <w:marTop w:val="0"/>
      <w:marBottom w:val="0"/>
      <w:divBdr>
        <w:top w:val="none" w:sz="0" w:space="0" w:color="auto"/>
        <w:left w:val="none" w:sz="0" w:space="0" w:color="auto"/>
        <w:bottom w:val="none" w:sz="0" w:space="0" w:color="auto"/>
        <w:right w:val="none" w:sz="0" w:space="0" w:color="auto"/>
      </w:divBdr>
      <w:divsChild>
        <w:div w:id="418722408">
          <w:marLeft w:val="0"/>
          <w:marRight w:val="0"/>
          <w:marTop w:val="0"/>
          <w:marBottom w:val="0"/>
          <w:divBdr>
            <w:top w:val="none" w:sz="0" w:space="0" w:color="auto"/>
            <w:left w:val="none" w:sz="0" w:space="0" w:color="auto"/>
            <w:bottom w:val="none" w:sz="0" w:space="0" w:color="auto"/>
            <w:right w:val="none" w:sz="0" w:space="0" w:color="auto"/>
          </w:divBdr>
          <w:divsChild>
            <w:div w:id="655064120">
              <w:marLeft w:val="0"/>
              <w:marRight w:val="0"/>
              <w:marTop w:val="0"/>
              <w:marBottom w:val="0"/>
              <w:divBdr>
                <w:top w:val="none" w:sz="0" w:space="0" w:color="auto"/>
                <w:left w:val="none" w:sz="0" w:space="0" w:color="auto"/>
                <w:bottom w:val="none" w:sz="0" w:space="0" w:color="auto"/>
                <w:right w:val="none" w:sz="0" w:space="0" w:color="auto"/>
              </w:divBdr>
              <w:divsChild>
                <w:div w:id="549650600">
                  <w:marLeft w:val="0"/>
                  <w:marRight w:val="0"/>
                  <w:marTop w:val="0"/>
                  <w:marBottom w:val="0"/>
                  <w:divBdr>
                    <w:top w:val="none" w:sz="0" w:space="0" w:color="auto"/>
                    <w:left w:val="none" w:sz="0" w:space="0" w:color="auto"/>
                    <w:bottom w:val="none" w:sz="0" w:space="0" w:color="auto"/>
                    <w:right w:val="none" w:sz="0" w:space="0" w:color="auto"/>
                  </w:divBdr>
                  <w:divsChild>
                    <w:div w:id="2062827852">
                      <w:marLeft w:val="0"/>
                      <w:marRight w:val="0"/>
                      <w:marTop w:val="0"/>
                      <w:marBottom w:val="0"/>
                      <w:divBdr>
                        <w:top w:val="none" w:sz="0" w:space="0" w:color="auto"/>
                        <w:left w:val="none" w:sz="0" w:space="0" w:color="auto"/>
                        <w:bottom w:val="none" w:sz="0" w:space="0" w:color="auto"/>
                        <w:right w:val="none" w:sz="0" w:space="0" w:color="auto"/>
                      </w:divBdr>
                      <w:divsChild>
                        <w:div w:id="612594999">
                          <w:marLeft w:val="0"/>
                          <w:marRight w:val="0"/>
                          <w:marTop w:val="0"/>
                          <w:marBottom w:val="0"/>
                          <w:divBdr>
                            <w:top w:val="none" w:sz="0" w:space="0" w:color="auto"/>
                            <w:left w:val="none" w:sz="0" w:space="0" w:color="auto"/>
                            <w:bottom w:val="none" w:sz="0" w:space="0" w:color="auto"/>
                            <w:right w:val="none" w:sz="0" w:space="0" w:color="auto"/>
                          </w:divBdr>
                          <w:divsChild>
                            <w:div w:id="1588538375">
                              <w:marLeft w:val="0"/>
                              <w:marRight w:val="0"/>
                              <w:marTop w:val="0"/>
                              <w:marBottom w:val="0"/>
                              <w:divBdr>
                                <w:top w:val="none" w:sz="0" w:space="0" w:color="auto"/>
                                <w:left w:val="none" w:sz="0" w:space="0" w:color="auto"/>
                                <w:bottom w:val="none" w:sz="0" w:space="0" w:color="auto"/>
                                <w:right w:val="none" w:sz="0" w:space="0" w:color="auto"/>
                              </w:divBdr>
                              <w:divsChild>
                                <w:div w:id="1241284514">
                                  <w:marLeft w:val="0"/>
                                  <w:marRight w:val="0"/>
                                  <w:marTop w:val="0"/>
                                  <w:marBottom w:val="0"/>
                                  <w:divBdr>
                                    <w:top w:val="none" w:sz="0" w:space="0" w:color="auto"/>
                                    <w:left w:val="none" w:sz="0" w:space="0" w:color="auto"/>
                                    <w:bottom w:val="none" w:sz="0" w:space="0" w:color="auto"/>
                                    <w:right w:val="none" w:sz="0" w:space="0" w:color="auto"/>
                                  </w:divBdr>
                                </w:div>
                                <w:div w:id="200870453">
                                  <w:marLeft w:val="0"/>
                                  <w:marRight w:val="0"/>
                                  <w:marTop w:val="0"/>
                                  <w:marBottom w:val="0"/>
                                  <w:divBdr>
                                    <w:top w:val="none" w:sz="0" w:space="0" w:color="auto"/>
                                    <w:left w:val="none" w:sz="0" w:space="0" w:color="auto"/>
                                    <w:bottom w:val="none" w:sz="0" w:space="0" w:color="auto"/>
                                    <w:right w:val="none" w:sz="0" w:space="0" w:color="auto"/>
                                  </w:divBdr>
                                </w:div>
                                <w:div w:id="62285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719665">
      <w:bodyDiv w:val="1"/>
      <w:marLeft w:val="0"/>
      <w:marRight w:val="0"/>
      <w:marTop w:val="0"/>
      <w:marBottom w:val="0"/>
      <w:divBdr>
        <w:top w:val="none" w:sz="0" w:space="0" w:color="auto"/>
        <w:left w:val="none" w:sz="0" w:space="0" w:color="auto"/>
        <w:bottom w:val="none" w:sz="0" w:space="0" w:color="auto"/>
        <w:right w:val="none" w:sz="0" w:space="0" w:color="auto"/>
      </w:divBdr>
      <w:divsChild>
        <w:div w:id="1807776333">
          <w:marLeft w:val="0"/>
          <w:marRight w:val="0"/>
          <w:marTop w:val="0"/>
          <w:marBottom w:val="0"/>
          <w:divBdr>
            <w:top w:val="none" w:sz="0" w:space="0" w:color="auto"/>
            <w:left w:val="none" w:sz="0" w:space="0" w:color="auto"/>
            <w:bottom w:val="none" w:sz="0" w:space="0" w:color="auto"/>
            <w:right w:val="none" w:sz="0" w:space="0" w:color="auto"/>
          </w:divBdr>
        </w:div>
        <w:div w:id="204098843">
          <w:marLeft w:val="0"/>
          <w:marRight w:val="0"/>
          <w:marTop w:val="0"/>
          <w:marBottom w:val="0"/>
          <w:divBdr>
            <w:top w:val="none" w:sz="0" w:space="0" w:color="auto"/>
            <w:left w:val="none" w:sz="0" w:space="0" w:color="auto"/>
            <w:bottom w:val="none" w:sz="0" w:space="0" w:color="auto"/>
            <w:right w:val="none" w:sz="0" w:space="0" w:color="auto"/>
          </w:divBdr>
        </w:div>
        <w:div w:id="5607481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vestor.ea.com/annuals.cfm" TargetMode="External"/><Relationship Id="rId12" Type="http://schemas.openxmlformats.org/officeDocument/2006/relationships/hyperlink" Target="http://ir.take2games.com/phoenix.zhtml?c=86428&amp;p=irol-irhome"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chart" Target="charts/chart1.xml"/><Relationship Id="rId10" Type="http://schemas.openxmlformats.org/officeDocument/2006/relationships/hyperlink" Target="https://global.gotomeeting.com/meeting/join/53471669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3"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Sheet1!$A$3</c:f>
              <c:strCache>
                <c:ptCount val="1"/>
                <c:pt idx="0">
                  <c:v>ATVI</c:v>
                </c:pt>
              </c:strCache>
            </c:strRef>
          </c:tx>
          <c:invertIfNegative val="0"/>
          <c:cat>
            <c:numRef>
              <c:f>Sheet1!$B$2:$G$2</c:f>
              <c:numCache>
                <c:formatCode>d\-mmm\-yy</c:formatCode>
                <c:ptCount val="6"/>
                <c:pt idx="0">
                  <c:v>41456.0</c:v>
                </c:pt>
                <c:pt idx="1">
                  <c:v>41518.0</c:v>
                </c:pt>
                <c:pt idx="2">
                  <c:v>41609.0</c:v>
                </c:pt>
                <c:pt idx="3">
                  <c:v>41699.0</c:v>
                </c:pt>
                <c:pt idx="4">
                  <c:v>41820.0</c:v>
                </c:pt>
              </c:numCache>
            </c:numRef>
          </c:cat>
          <c:val>
            <c:numRef>
              <c:f>Sheet1!$B$3:$G$3</c:f>
              <c:numCache>
                <c:formatCode>"$"#,##0.00</c:formatCode>
                <c:ptCount val="6"/>
                <c:pt idx="0">
                  <c:v>18.07999999999999</c:v>
                </c:pt>
                <c:pt idx="1">
                  <c:v>16.68</c:v>
                </c:pt>
                <c:pt idx="2">
                  <c:v>17.82999999999999</c:v>
                </c:pt>
                <c:pt idx="3">
                  <c:v>20.44</c:v>
                </c:pt>
                <c:pt idx="4">
                  <c:v>23.37</c:v>
                </c:pt>
                <c:pt idx="5">
                  <c:v>5.290000000000003</c:v>
                </c:pt>
              </c:numCache>
            </c:numRef>
          </c:val>
        </c:ser>
        <c:ser>
          <c:idx val="1"/>
          <c:order val="1"/>
          <c:tx>
            <c:strRef>
              <c:f>Sheet1!$A$4</c:f>
              <c:strCache>
                <c:ptCount val="1"/>
                <c:pt idx="0">
                  <c:v>EA</c:v>
                </c:pt>
              </c:strCache>
            </c:strRef>
          </c:tx>
          <c:invertIfNegative val="0"/>
          <c:cat>
            <c:numRef>
              <c:f>Sheet1!$B$2:$G$2</c:f>
              <c:numCache>
                <c:formatCode>d\-mmm\-yy</c:formatCode>
                <c:ptCount val="6"/>
                <c:pt idx="0">
                  <c:v>41456.0</c:v>
                </c:pt>
                <c:pt idx="1">
                  <c:v>41518.0</c:v>
                </c:pt>
                <c:pt idx="2">
                  <c:v>41609.0</c:v>
                </c:pt>
                <c:pt idx="3">
                  <c:v>41699.0</c:v>
                </c:pt>
                <c:pt idx="4">
                  <c:v>41820.0</c:v>
                </c:pt>
              </c:numCache>
            </c:numRef>
          </c:cat>
          <c:val>
            <c:numRef>
              <c:f>Sheet1!$B$4:$G$4</c:f>
              <c:numCache>
                <c:formatCode>"$"#,##0.00</c:formatCode>
                <c:ptCount val="6"/>
                <c:pt idx="0">
                  <c:v>26.53</c:v>
                </c:pt>
                <c:pt idx="1">
                  <c:v>25.55</c:v>
                </c:pt>
                <c:pt idx="2">
                  <c:v>22.89</c:v>
                </c:pt>
                <c:pt idx="3">
                  <c:v>29.01</c:v>
                </c:pt>
                <c:pt idx="4">
                  <c:v>34.34</c:v>
                </c:pt>
                <c:pt idx="5">
                  <c:v>7.81</c:v>
                </c:pt>
              </c:numCache>
            </c:numRef>
          </c:val>
        </c:ser>
        <c:ser>
          <c:idx val="2"/>
          <c:order val="2"/>
          <c:tx>
            <c:strRef>
              <c:f>Sheet1!$A$5</c:f>
              <c:strCache>
                <c:ptCount val="1"/>
                <c:pt idx="0">
                  <c:v>TTWO</c:v>
                </c:pt>
              </c:strCache>
            </c:strRef>
          </c:tx>
          <c:invertIfNegative val="0"/>
          <c:cat>
            <c:numRef>
              <c:f>Sheet1!$B$2:$G$2</c:f>
              <c:numCache>
                <c:formatCode>d\-mmm\-yy</c:formatCode>
                <c:ptCount val="6"/>
                <c:pt idx="0">
                  <c:v>41456.0</c:v>
                </c:pt>
                <c:pt idx="1">
                  <c:v>41518.0</c:v>
                </c:pt>
                <c:pt idx="2">
                  <c:v>41609.0</c:v>
                </c:pt>
                <c:pt idx="3">
                  <c:v>41699.0</c:v>
                </c:pt>
                <c:pt idx="4">
                  <c:v>41820.0</c:v>
                </c:pt>
              </c:numCache>
            </c:numRef>
          </c:cat>
          <c:val>
            <c:numRef>
              <c:f>Sheet1!$B$5:$G$5</c:f>
              <c:numCache>
                <c:formatCode>"$"#,##0.00</c:formatCode>
                <c:ptCount val="6"/>
                <c:pt idx="0">
                  <c:v>16.97</c:v>
                </c:pt>
                <c:pt idx="1">
                  <c:v>18.32</c:v>
                </c:pt>
                <c:pt idx="2">
                  <c:v>17.68</c:v>
                </c:pt>
                <c:pt idx="3">
                  <c:v>21.0</c:v>
                </c:pt>
                <c:pt idx="4">
                  <c:v>23.51</c:v>
                </c:pt>
                <c:pt idx="5">
                  <c:v>6.540000000000003</c:v>
                </c:pt>
              </c:numCache>
            </c:numRef>
          </c:val>
        </c:ser>
        <c:dLbls>
          <c:showLegendKey val="0"/>
          <c:showVal val="0"/>
          <c:showCatName val="0"/>
          <c:showSerName val="0"/>
          <c:showPercent val="0"/>
          <c:showBubbleSize val="0"/>
        </c:dLbls>
        <c:gapWidth val="150"/>
        <c:shape val="box"/>
        <c:axId val="-2038348584"/>
        <c:axId val="-2037716648"/>
        <c:axId val="0"/>
      </c:bar3DChart>
      <c:dateAx>
        <c:axId val="-2038348584"/>
        <c:scaling>
          <c:orientation val="minMax"/>
        </c:scaling>
        <c:delete val="0"/>
        <c:axPos val="b"/>
        <c:numFmt formatCode="d\-mmm\-yy" sourceLinked="1"/>
        <c:majorTickMark val="out"/>
        <c:minorTickMark val="none"/>
        <c:tickLblPos val="nextTo"/>
        <c:crossAx val="-2037716648"/>
        <c:crosses val="autoZero"/>
        <c:auto val="1"/>
        <c:lblOffset val="100"/>
        <c:baseTimeUnit val="months"/>
      </c:dateAx>
      <c:valAx>
        <c:axId val="-2037716648"/>
        <c:scaling>
          <c:orientation val="minMax"/>
        </c:scaling>
        <c:delete val="0"/>
        <c:axPos val="l"/>
        <c:majorGridlines/>
        <c:numFmt formatCode="&quot;$&quot;#,##0.00" sourceLinked="1"/>
        <c:majorTickMark val="out"/>
        <c:minorTickMark val="none"/>
        <c:tickLblPos val="nextTo"/>
        <c:crossAx val="-2038348584"/>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0.14372</cdr:x>
      <cdr:y>0.22046</cdr:y>
    </cdr:from>
    <cdr:to>
      <cdr:x>0.28128</cdr:x>
      <cdr:y>0.25819</cdr:y>
    </cdr:to>
    <cdr:cxnSp macro="">
      <cdr:nvCxnSpPr>
        <cdr:cNvPr id="2" name="Straight Connector 1"/>
        <cdr:cNvCxnSpPr/>
      </cdr:nvCxnSpPr>
      <cdr:spPr>
        <a:xfrm xmlns:a="http://schemas.openxmlformats.org/drawingml/2006/main">
          <a:off x="800100" y="667898"/>
          <a:ext cx="765810" cy="114300"/>
        </a:xfrm>
        <a:prstGeom xmlns:a="http://schemas.openxmlformats.org/drawingml/2006/main" prst="line">
          <a:avLst/>
        </a:prstGeom>
      </cdr:spPr>
      <cdr:style>
        <a:lnRef xmlns:a="http://schemas.openxmlformats.org/drawingml/2006/main" idx="3">
          <a:schemeClr val="accent4"/>
        </a:lnRef>
        <a:fillRef xmlns:a="http://schemas.openxmlformats.org/drawingml/2006/main" idx="0">
          <a:schemeClr val="accent4"/>
        </a:fillRef>
        <a:effectRef xmlns:a="http://schemas.openxmlformats.org/drawingml/2006/main" idx="2">
          <a:schemeClr val="accent4"/>
        </a:effectRef>
        <a:fontRef xmlns:a="http://schemas.openxmlformats.org/drawingml/2006/main" idx="minor">
          <a:schemeClr val="tx1"/>
        </a:fontRef>
      </cdr:style>
    </cdr:cxnSp>
  </cdr:relSizeAnchor>
  <cdr:relSizeAnchor xmlns:cdr="http://schemas.openxmlformats.org/drawingml/2006/chartDrawing">
    <cdr:from>
      <cdr:x>0.26691</cdr:x>
      <cdr:y>0.26273</cdr:y>
    </cdr:from>
    <cdr:to>
      <cdr:x>0.45169</cdr:x>
      <cdr:y>0.29591</cdr:y>
    </cdr:to>
    <cdr:cxnSp macro="">
      <cdr:nvCxnSpPr>
        <cdr:cNvPr id="5" name="Straight Connector 4"/>
        <cdr:cNvCxnSpPr/>
      </cdr:nvCxnSpPr>
      <cdr:spPr>
        <a:xfrm xmlns:a="http://schemas.openxmlformats.org/drawingml/2006/main">
          <a:off x="1485900" y="795969"/>
          <a:ext cx="1028700" cy="100529"/>
        </a:xfrm>
        <a:prstGeom xmlns:a="http://schemas.openxmlformats.org/drawingml/2006/main" prst="line">
          <a:avLst/>
        </a:prstGeom>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dr:relSizeAnchor xmlns:cdr="http://schemas.openxmlformats.org/drawingml/2006/chartDrawing">
    <cdr:from>
      <cdr:x>0.45169</cdr:x>
      <cdr:y>0.18273</cdr:y>
    </cdr:from>
    <cdr:to>
      <cdr:x>0.61595</cdr:x>
      <cdr:y>0.29591</cdr:y>
    </cdr:to>
    <cdr:cxnSp macro="">
      <cdr:nvCxnSpPr>
        <cdr:cNvPr id="6" name="Straight Connector 5"/>
        <cdr:cNvCxnSpPr/>
      </cdr:nvCxnSpPr>
      <cdr:spPr>
        <a:xfrm xmlns:a="http://schemas.openxmlformats.org/drawingml/2006/main" flipV="1">
          <a:off x="2514600" y="553598"/>
          <a:ext cx="914400" cy="342900"/>
        </a:xfrm>
        <a:prstGeom xmlns:a="http://schemas.openxmlformats.org/drawingml/2006/main" prst="line">
          <a:avLst/>
        </a:prstGeom>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dr:relSizeAnchor xmlns:cdr="http://schemas.openxmlformats.org/drawingml/2006/chartDrawing">
    <cdr:from>
      <cdr:x>0.61595</cdr:x>
      <cdr:y>0.10727</cdr:y>
    </cdr:from>
    <cdr:to>
      <cdr:x>0.7802</cdr:x>
      <cdr:y>0.18273</cdr:y>
    </cdr:to>
    <cdr:cxnSp macro="">
      <cdr:nvCxnSpPr>
        <cdr:cNvPr id="7" name="Straight Connector 6"/>
        <cdr:cNvCxnSpPr/>
      </cdr:nvCxnSpPr>
      <cdr:spPr>
        <a:xfrm xmlns:a="http://schemas.openxmlformats.org/drawingml/2006/main" flipV="1">
          <a:off x="3429000" y="324998"/>
          <a:ext cx="914400" cy="228600"/>
        </a:xfrm>
        <a:prstGeom xmlns:a="http://schemas.openxmlformats.org/drawingml/2006/main" prst="line">
          <a:avLst/>
        </a:prstGeom>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dr:relSizeAnchor xmlns:cdr="http://schemas.openxmlformats.org/drawingml/2006/chartDrawing">
    <cdr:from>
      <cdr:x>0.12319</cdr:x>
      <cdr:y>0.4091</cdr:y>
    </cdr:from>
    <cdr:to>
      <cdr:x>0.24638</cdr:x>
      <cdr:y>0.44683</cdr:y>
    </cdr:to>
    <cdr:cxnSp macro="">
      <cdr:nvCxnSpPr>
        <cdr:cNvPr id="11" name="Straight Connector 10"/>
        <cdr:cNvCxnSpPr/>
      </cdr:nvCxnSpPr>
      <cdr:spPr>
        <a:xfrm xmlns:a="http://schemas.openxmlformats.org/drawingml/2006/main">
          <a:off x="685800" y="1239398"/>
          <a:ext cx="685800" cy="114300"/>
        </a:xfrm>
        <a:prstGeom xmlns:a="http://schemas.openxmlformats.org/drawingml/2006/main" prst="line">
          <a:avLst/>
        </a:prstGeom>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cxnSp>
  </cdr:relSizeAnchor>
  <cdr:relSizeAnchor xmlns:cdr="http://schemas.openxmlformats.org/drawingml/2006/chartDrawing">
    <cdr:from>
      <cdr:x>0.28744</cdr:x>
      <cdr:y>0.4091</cdr:y>
    </cdr:from>
    <cdr:to>
      <cdr:x>0.45169</cdr:x>
      <cdr:y>0.4091</cdr:y>
    </cdr:to>
    <cdr:cxnSp macro="">
      <cdr:nvCxnSpPr>
        <cdr:cNvPr id="17" name="Straight Connector 16"/>
        <cdr:cNvCxnSpPr/>
      </cdr:nvCxnSpPr>
      <cdr:spPr>
        <a:xfrm xmlns:a="http://schemas.openxmlformats.org/drawingml/2006/main">
          <a:off x="1600200" y="1239398"/>
          <a:ext cx="914400" cy="0"/>
        </a:xfrm>
        <a:prstGeom xmlns:a="http://schemas.openxmlformats.org/drawingml/2006/main" prst="line">
          <a:avLst/>
        </a:prstGeom>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dr:relSizeAnchor xmlns:cdr="http://schemas.openxmlformats.org/drawingml/2006/chartDrawing">
    <cdr:from>
      <cdr:x>0.16425</cdr:x>
      <cdr:y>0.4091</cdr:y>
    </cdr:from>
    <cdr:to>
      <cdr:x>0.28744</cdr:x>
      <cdr:y>0.44683</cdr:y>
    </cdr:to>
    <cdr:cxnSp macro="">
      <cdr:nvCxnSpPr>
        <cdr:cNvPr id="18" name="Straight Connector 17"/>
        <cdr:cNvCxnSpPr/>
      </cdr:nvCxnSpPr>
      <cdr:spPr>
        <a:xfrm xmlns:a="http://schemas.openxmlformats.org/drawingml/2006/main" flipV="1">
          <a:off x="914400" y="1239398"/>
          <a:ext cx="685800" cy="114300"/>
        </a:xfrm>
        <a:prstGeom xmlns:a="http://schemas.openxmlformats.org/drawingml/2006/main" prst="line">
          <a:avLst/>
        </a:prstGeom>
      </cdr:spPr>
      <cdr:style>
        <a:lnRef xmlns:a="http://schemas.openxmlformats.org/drawingml/2006/main" idx="3">
          <a:schemeClr val="accent1"/>
        </a:lnRef>
        <a:fillRef xmlns:a="http://schemas.openxmlformats.org/drawingml/2006/main" idx="0">
          <a:schemeClr val="accent1"/>
        </a:fillRef>
        <a:effectRef xmlns:a="http://schemas.openxmlformats.org/drawingml/2006/main" idx="2">
          <a:schemeClr val="accent1"/>
        </a:effectRef>
        <a:fontRef xmlns:a="http://schemas.openxmlformats.org/drawingml/2006/main" idx="minor">
          <a:schemeClr val="tx1"/>
        </a:fontRef>
      </cdr:style>
    </cdr:cxnSp>
  </cdr:relSizeAnchor>
  <cdr:relSizeAnchor xmlns:cdr="http://schemas.openxmlformats.org/drawingml/2006/chartDrawing">
    <cdr:from>
      <cdr:x>0.26691</cdr:x>
      <cdr:y>0.4091</cdr:y>
    </cdr:from>
    <cdr:to>
      <cdr:x>0.45169</cdr:x>
      <cdr:y>0.44683</cdr:y>
    </cdr:to>
    <cdr:cxnSp macro="">
      <cdr:nvCxnSpPr>
        <cdr:cNvPr id="20" name="Straight Connector 19"/>
        <cdr:cNvCxnSpPr/>
      </cdr:nvCxnSpPr>
      <cdr:spPr>
        <a:xfrm xmlns:a="http://schemas.openxmlformats.org/drawingml/2006/main" flipV="1">
          <a:off x="1485900" y="1239398"/>
          <a:ext cx="1028700" cy="114300"/>
        </a:xfrm>
        <a:prstGeom xmlns:a="http://schemas.openxmlformats.org/drawingml/2006/main" prst="line">
          <a:avLst/>
        </a:prstGeom>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cxnSp>
  </cdr:relSizeAnchor>
  <cdr:relSizeAnchor xmlns:cdr="http://schemas.openxmlformats.org/drawingml/2006/chartDrawing">
    <cdr:from>
      <cdr:x>0.45169</cdr:x>
      <cdr:y>0.33364</cdr:y>
    </cdr:from>
    <cdr:to>
      <cdr:x>0.63648</cdr:x>
      <cdr:y>0.4091</cdr:y>
    </cdr:to>
    <cdr:cxnSp macro="">
      <cdr:nvCxnSpPr>
        <cdr:cNvPr id="22" name="Straight Connector 21"/>
        <cdr:cNvCxnSpPr/>
      </cdr:nvCxnSpPr>
      <cdr:spPr>
        <a:xfrm xmlns:a="http://schemas.openxmlformats.org/drawingml/2006/main" flipV="1">
          <a:off x="2514600" y="1010798"/>
          <a:ext cx="1028700" cy="22860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0.43116</cdr:x>
      <cdr:y>0.37137</cdr:y>
    </cdr:from>
    <cdr:to>
      <cdr:x>0.59541</cdr:x>
      <cdr:y>0.4091</cdr:y>
    </cdr:to>
    <cdr:cxnSp macro="">
      <cdr:nvCxnSpPr>
        <cdr:cNvPr id="23" name="Straight Connector 22"/>
        <cdr:cNvCxnSpPr/>
      </cdr:nvCxnSpPr>
      <cdr:spPr>
        <a:xfrm xmlns:a="http://schemas.openxmlformats.org/drawingml/2006/main" flipV="1">
          <a:off x="2400300" y="1125098"/>
          <a:ext cx="914400" cy="114300"/>
        </a:xfrm>
        <a:prstGeom xmlns:a="http://schemas.openxmlformats.org/drawingml/2006/main" prst="line">
          <a:avLst/>
        </a:prstGeom>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cxnSp>
  </cdr:relSizeAnchor>
  <cdr:relSizeAnchor xmlns:cdr="http://schemas.openxmlformats.org/drawingml/2006/chartDrawing">
    <cdr:from>
      <cdr:x>0.61595</cdr:x>
      <cdr:y>0.29591</cdr:y>
    </cdr:from>
    <cdr:to>
      <cdr:x>0.7802</cdr:x>
      <cdr:y>0.33364</cdr:y>
    </cdr:to>
    <cdr:cxnSp macro="">
      <cdr:nvCxnSpPr>
        <cdr:cNvPr id="27" name="Straight Connector 26"/>
        <cdr:cNvCxnSpPr/>
      </cdr:nvCxnSpPr>
      <cdr:spPr>
        <a:xfrm xmlns:a="http://schemas.openxmlformats.org/drawingml/2006/main" flipV="1">
          <a:off x="3429000" y="896498"/>
          <a:ext cx="914400" cy="114300"/>
        </a:xfrm>
        <a:prstGeom xmlns:a="http://schemas.openxmlformats.org/drawingml/2006/main" prst="line">
          <a:avLst/>
        </a:prstGeom>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cxnSp>
  </cdr:relSizeAnchor>
  <cdr:relSizeAnchor xmlns:cdr="http://schemas.openxmlformats.org/drawingml/2006/chartDrawing">
    <cdr:from>
      <cdr:x>0.63648</cdr:x>
      <cdr:y>0.29591</cdr:y>
    </cdr:from>
    <cdr:to>
      <cdr:x>0.80073</cdr:x>
      <cdr:y>0.33364</cdr:y>
    </cdr:to>
    <cdr:cxnSp macro="">
      <cdr:nvCxnSpPr>
        <cdr:cNvPr id="30" name="Straight Connector 29"/>
        <cdr:cNvCxnSpPr/>
      </cdr:nvCxnSpPr>
      <cdr:spPr>
        <a:xfrm xmlns:a="http://schemas.openxmlformats.org/drawingml/2006/main" flipV="1">
          <a:off x="3543300" y="896498"/>
          <a:ext cx="914400" cy="11430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1207</Words>
  <Characters>6741</Characters>
  <Application>Microsoft Macintosh Word</Application>
  <DocSecurity>0</DocSecurity>
  <Lines>140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Nagler</dc:creator>
  <cp:keywords/>
  <dc:description/>
  <cp:lastModifiedBy>Deb Nagler</cp:lastModifiedBy>
  <cp:revision>2</cp:revision>
  <cp:lastPrinted>2014-07-31T07:32:00Z</cp:lastPrinted>
  <dcterms:created xsi:type="dcterms:W3CDTF">2016-05-31T19:50:00Z</dcterms:created>
  <dcterms:modified xsi:type="dcterms:W3CDTF">2016-05-31T19:50:00Z</dcterms:modified>
</cp:coreProperties>
</file>